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eastAsia="zh-CN"/>
        </w:rPr>
      </w:pPr>
      <w:r>
        <w:rPr>
          <w:rFonts w:hint="eastAsia" w:asciiTheme="majorEastAsia" w:hAnsiTheme="majorEastAsia" w:eastAsiaTheme="majorEastAsia" w:cstheme="majorEastAsia"/>
          <w:sz w:val="44"/>
          <w:szCs w:val="44"/>
          <w:lang w:eastAsia="zh-CN"/>
        </w:rPr>
        <w:t>关于遴选派遣</w:t>
      </w:r>
      <w:r>
        <w:rPr>
          <w:rFonts w:hint="eastAsia" w:asciiTheme="majorEastAsia" w:hAnsiTheme="majorEastAsia" w:eastAsiaTheme="majorEastAsia" w:cstheme="majorEastAsia"/>
          <w:sz w:val="44"/>
          <w:szCs w:val="44"/>
          <w:lang w:val="en-US" w:eastAsia="zh-CN"/>
        </w:rPr>
        <w:t>2018</w:t>
      </w:r>
      <w:r>
        <w:rPr>
          <w:rFonts w:hint="eastAsia" w:asciiTheme="majorEastAsia" w:hAnsiTheme="majorEastAsia" w:eastAsiaTheme="majorEastAsia" w:cstheme="majorEastAsia"/>
          <w:sz w:val="44"/>
          <w:szCs w:val="44"/>
          <w:lang w:eastAsia="zh-CN"/>
        </w:rPr>
        <w:t>国际交流生的通知</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各学院</w:t>
      </w:r>
      <w:r>
        <w:rPr>
          <w:rFonts w:hint="eastAsia" w:ascii="仿宋_GB2312" w:hAnsi="仿宋_GB2312" w:eastAsia="仿宋_GB2312" w:cs="仿宋_GB2312"/>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为了加强校际交流，提升学生综合素养，我校先后与英国斯旺西大学、英国亚伯大学、</w:t>
      </w:r>
      <w:r>
        <w:rPr>
          <w:rFonts w:hint="eastAsia" w:ascii="仿宋_GB2312" w:hAnsi="仿宋_GB2312" w:eastAsia="仿宋_GB2312" w:cs="仿宋_GB2312"/>
          <w:sz w:val="30"/>
          <w:szCs w:val="30"/>
          <w:vertAlign w:val="baseline"/>
          <w:lang w:val="en-US" w:eastAsia="zh-CN"/>
        </w:rPr>
        <w:t>土耳其梅尔辛大学签订校际合作协议。2018年主要与美国长青州立大学、马来西亚砂拉越大学互派交流生。</w:t>
      </w:r>
      <w:r>
        <w:rPr>
          <w:rFonts w:hint="eastAsia" w:ascii="仿宋_GB2312" w:hAnsi="仿宋_GB2312" w:eastAsia="仿宋_GB2312" w:cs="仿宋_GB2312"/>
          <w:sz w:val="30"/>
          <w:szCs w:val="30"/>
          <w:lang w:val="en-US" w:eastAsia="zh-CN"/>
        </w:rPr>
        <w:t xml:space="preserve"> 现将有关事项通知如下：</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1、美国长青州立大学，按照协议要求，我校共选派2人，其中茶与食品学院1人；另外1人从其它学院报名的学生中选拔；</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2、马来西亚砂拉越大学，我校与该校技术学院开展交流活动，按照协议要求选派5人，其中</w:t>
      </w:r>
      <w:r>
        <w:rPr>
          <w:rFonts w:hint="eastAsia" w:ascii="仿宋_GB2312" w:hAnsi="仿宋_GB2312" w:eastAsia="仿宋_GB2312" w:cs="仿宋_GB2312"/>
          <w:sz w:val="30"/>
          <w:szCs w:val="30"/>
          <w:vertAlign w:val="baseline"/>
          <w:lang w:val="en-US" w:eastAsia="zh-CN"/>
        </w:rPr>
        <w:t>土木工程与建筑学院2人，商学院1人；另外2人</w:t>
      </w:r>
      <w:r>
        <w:rPr>
          <w:rFonts w:hint="eastAsia" w:ascii="仿宋_GB2312" w:hAnsi="仿宋_GB2312" w:eastAsia="仿宋_GB2312" w:cs="仿宋_GB2312"/>
          <w:sz w:val="30"/>
          <w:szCs w:val="30"/>
          <w:lang w:val="en-US" w:eastAsia="zh-CN"/>
        </w:rPr>
        <w:t>从其它学院报名的学生中选拔。</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所需材料：身份证、学生证、成绩单、托福或雅思成绩、院系推荐信（除推荐信外，其它材料均提供复印件）</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报名截止时间：2018年6月10日</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报名提交材料地点：同文4-102B-3</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请各学院积极宣传广泛动员，鼓励学生踊跃报名。</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5700" w:firstLineChars="19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两海双办</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5400" w:firstLineChars="18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2018年5月25日</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（联系人：杨静    联系电话：5138829、15859938992）</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附：武夷学院校际交流生项目简介（加“*”为此次选派项目）</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vertAlign w:val="baseline"/>
          <w:lang w:val="en-US" w:eastAsia="zh-CN"/>
        </w:rPr>
        <w:sectPr>
          <w:pgSz w:w="11906" w:h="16838"/>
          <w:pgMar w:top="1406" w:right="1440" w:bottom="1406" w:left="1440" w:header="851" w:footer="992" w:gutter="0"/>
          <w:cols w:space="0" w:num="1"/>
          <w:rtlGutter w:val="0"/>
          <w:docGrid w:type="lines" w:linePitch="312" w:charSpace="0"/>
        </w:sectPr>
      </w:pPr>
      <w:bookmarkStart w:id="0" w:name="_GoBack"/>
      <w:bookmarkEnd w:id="0"/>
    </w:p>
    <w:p>
      <w:pPr>
        <w:jc w:val="center"/>
        <w:rPr>
          <w:rFonts w:hint="eastAsia"/>
          <w:b/>
          <w:bCs/>
          <w:sz w:val="36"/>
          <w:szCs w:val="36"/>
          <w:lang w:eastAsia="zh-CN"/>
        </w:rPr>
      </w:pPr>
      <w:r>
        <w:rPr>
          <w:rFonts w:hint="eastAsia"/>
          <w:b/>
          <w:bCs/>
          <w:sz w:val="36"/>
          <w:szCs w:val="36"/>
          <w:lang w:eastAsia="zh-CN"/>
        </w:rPr>
        <w:t>武夷学院国际交流生项目简介</w:t>
      </w:r>
    </w:p>
    <w:p>
      <w:pPr>
        <w:rPr>
          <w:rFonts w:hint="eastAsia"/>
          <w:lang w:val="en-US" w:eastAsia="zh-CN"/>
        </w:rPr>
      </w:pPr>
    </w:p>
    <w:tbl>
      <w:tblPr>
        <w:tblStyle w:val="4"/>
        <w:tblW w:w="15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087"/>
        <w:gridCol w:w="1710"/>
        <w:gridCol w:w="2430"/>
        <w:gridCol w:w="3765"/>
        <w:gridCol w:w="4230"/>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97" w:type="dxa"/>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序号</w:t>
            </w:r>
          </w:p>
        </w:tc>
        <w:tc>
          <w:tcPr>
            <w:tcW w:w="1087" w:type="dxa"/>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学校</w:t>
            </w:r>
          </w:p>
        </w:tc>
        <w:tc>
          <w:tcPr>
            <w:tcW w:w="1710" w:type="dxa"/>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面向专业</w:t>
            </w:r>
          </w:p>
        </w:tc>
        <w:tc>
          <w:tcPr>
            <w:tcW w:w="2430"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合作模式</w:t>
            </w:r>
          </w:p>
        </w:tc>
        <w:tc>
          <w:tcPr>
            <w:tcW w:w="3765"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入学条件</w:t>
            </w:r>
          </w:p>
        </w:tc>
        <w:tc>
          <w:tcPr>
            <w:tcW w:w="4230"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奖学金</w:t>
            </w:r>
          </w:p>
        </w:tc>
        <w:tc>
          <w:tcPr>
            <w:tcW w:w="1305" w:type="dxa"/>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9" w:hRule="atLeast"/>
        </w:trPr>
        <w:tc>
          <w:tcPr>
            <w:tcW w:w="497" w:type="dxa"/>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087" w:type="dxa"/>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美国长青州立大学</w:t>
            </w:r>
          </w:p>
        </w:tc>
        <w:tc>
          <w:tcPr>
            <w:tcW w:w="1710" w:type="dxa"/>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4"/>
                <w:szCs w:val="24"/>
                <w:vertAlign w:val="baseline"/>
                <w:lang w:eastAsia="zh-CN"/>
              </w:rPr>
            </w:pPr>
          </w:p>
        </w:tc>
        <w:tc>
          <w:tcPr>
            <w:tcW w:w="2430" w:type="dxa"/>
          </w:tcPr>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2+2或3+1合作项目：</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4"/>
                <w:szCs w:val="24"/>
              </w:rPr>
            </w:pPr>
            <w:r>
              <w:rPr>
                <w:rFonts w:hint="eastAsia" w:ascii="仿宋" w:hAnsi="仿宋" w:eastAsia="仿宋" w:cs="仿宋"/>
                <w:sz w:val="24"/>
                <w:szCs w:val="24"/>
                <w:vertAlign w:val="baseline"/>
                <w:lang w:val="en-US" w:eastAsia="zh-CN"/>
              </w:rPr>
              <w:t>武夷学院与美国长青州立大学每年可互换至多2名在校学习至少完成一学年的优秀学生，最多可在接收方学习一个学年。合作单位之间可进行学分转换，从而帮助参加合作项目学生获取TESC文理科学士学位。</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4"/>
                <w:szCs w:val="24"/>
                <w:vertAlign w:val="baseline"/>
                <w:lang w:val="en-US" w:eastAsia="zh-CN"/>
              </w:rPr>
            </w:pPr>
          </w:p>
        </w:tc>
        <w:tc>
          <w:tcPr>
            <w:tcW w:w="3765" w:type="dxa"/>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学生完成武夷学院2-3年学习并达到美国学生签证要求；</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成绩满足托福成绩79分以上或雅思达到6.0分；学生年平均绩点至少应达到2.0；</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sz w:val="24"/>
                <w:szCs w:val="24"/>
              </w:rPr>
            </w:pPr>
            <w:r>
              <w:rPr>
                <w:rFonts w:hint="eastAsia" w:ascii="仿宋" w:hAnsi="仿宋" w:eastAsia="仿宋" w:cs="仿宋"/>
                <w:sz w:val="24"/>
                <w:szCs w:val="24"/>
                <w:vertAlign w:val="baseline"/>
                <w:lang w:val="en-US" w:eastAsia="zh-CN"/>
              </w:rPr>
              <w:t>在截止日期前完成既定的招生申请流程。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outlineLvl w:val="9"/>
              <w:rPr>
                <w:rFonts w:hint="eastAsia" w:ascii="仿宋" w:hAnsi="仿宋" w:eastAsia="仿宋" w:cs="仿宋"/>
                <w:b w:val="0"/>
                <w:bCs w:val="0"/>
                <w:sz w:val="24"/>
                <w:szCs w:val="24"/>
                <w:vertAlign w:val="baseline"/>
                <w:lang w:val="en-US" w:eastAsia="zh-CN"/>
              </w:rPr>
            </w:pPr>
          </w:p>
        </w:tc>
        <w:tc>
          <w:tcPr>
            <w:tcW w:w="4230" w:type="dxa"/>
          </w:tcPr>
          <w:p>
            <w:pPr>
              <w:keepNext w:val="0"/>
              <w:keepLines w:val="0"/>
              <w:pageBreakBefore w:val="0"/>
              <w:widowControl w:val="0"/>
              <w:numPr>
                <w:ilvl w:val="0"/>
                <w:numId w:val="2"/>
              </w:numPr>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交换生缴交派出方学费，其余费用，如健康中心费，学生活动费，课堂活动费，强制保险费或电脑使用费等由交换生按标准想接收方支付。如果学生在长青州立大学修习每学期超过18个学分，则需要额外支付超出部分的学费。所有其他费用，包括旅行，住宿，膳食，健康保险，教科书和生活费用均由学生自己行负担。</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每位交换生必须买足交换期间的保险。来自武夷学院的J-1（访问学者签证，下同。）交换生需要购买长青州立大学统一要求的保险方案。未购买相关保险的学生因违反了学生签证身份证的规定而面临被遣返的处罚。</w:t>
            </w:r>
          </w:p>
        </w:tc>
        <w:tc>
          <w:tcPr>
            <w:tcW w:w="1305" w:type="dxa"/>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18-19学年交换生2人（茶与食品专业1人）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7" w:type="dxa"/>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087"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b/>
                <w:bCs/>
                <w:sz w:val="24"/>
                <w:szCs w:val="24"/>
                <w:vertAlign w:val="baseline"/>
                <w:lang w:eastAsia="zh-CN"/>
              </w:rPr>
            </w:pPr>
            <w:r>
              <w:rPr>
                <w:rFonts w:hint="eastAsia" w:ascii="仿宋" w:hAnsi="仿宋" w:eastAsia="仿宋" w:cs="仿宋"/>
                <w:b/>
                <w:bCs/>
                <w:sz w:val="24"/>
                <w:szCs w:val="24"/>
                <w:vertAlign w:val="baseline"/>
                <w:lang w:val="en-US" w:eastAsia="zh-CN"/>
              </w:rPr>
              <w:t>马来西亚砂拉越大学技术学院</w:t>
            </w:r>
          </w:p>
        </w:tc>
        <w:tc>
          <w:tcPr>
            <w:tcW w:w="171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面向所有专业</w:t>
            </w:r>
          </w:p>
        </w:tc>
        <w:tc>
          <w:tcPr>
            <w:tcW w:w="2430"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武夷学院与马来西亚砂拉越大学技术学院建立一项学生交流计划： 每年每方将提名5名合格学生给合作院校进行等同科目的交换学习，学习时间可为一学期至一学年（该期间学分由武夷学院认定）。</w:t>
            </w:r>
          </w:p>
        </w:tc>
        <w:tc>
          <w:tcPr>
            <w:tcW w:w="3765" w:type="dxa"/>
            <w:vAlign w:val="top"/>
          </w:tcPr>
          <w:p>
            <w:pPr>
              <w:pStyle w:val="5"/>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0" w:leftChars="0" w:hanging="420" w:firstLineChars="0"/>
              <w:jc w:val="both"/>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在本国大学完成至少一年全日制学习;</w:t>
            </w:r>
          </w:p>
          <w:p>
            <w:pPr>
              <w:pStyle w:val="5"/>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0" w:leftChars="0" w:hanging="420" w:firstLineChars="0"/>
              <w:jc w:val="both"/>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具有良好的学习成绩记录并由学校提名推荐;</w:t>
            </w:r>
          </w:p>
          <w:p>
            <w:pPr>
              <w:pStyle w:val="5"/>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0" w:leftChars="0" w:hanging="420" w:firstLineChars="0"/>
              <w:jc w:val="both"/>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拥有各方都能接受的英语水平。</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sz w:val="24"/>
                <w:szCs w:val="24"/>
                <w:vertAlign w:val="baseline"/>
                <w:lang w:eastAsia="zh-CN"/>
              </w:rPr>
            </w:pPr>
          </w:p>
        </w:tc>
        <w:tc>
          <w:tcPr>
            <w:tcW w:w="423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1.交换生缴交派出方学费，其余所有其他费用，包括旅行，住宿，膳食，健康保险，教科书和生活费用均由学生自己行负担。</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2.每位交换生必须买足交换期间的保险。交换生需要购买砂拉越大学技术学院统一要求的保险方案。未购买相关保险的学生因违反了学生签证身份证的规定而面临被遣返的处罚。</w:t>
            </w:r>
          </w:p>
        </w:tc>
        <w:tc>
          <w:tcPr>
            <w:tcW w:w="1305"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b/>
                <w:bCs/>
                <w:sz w:val="24"/>
                <w:szCs w:val="24"/>
                <w:vertAlign w:val="baseline"/>
                <w:lang w:eastAsia="zh-CN"/>
              </w:rPr>
            </w:pPr>
            <w:r>
              <w:rPr>
                <w:rFonts w:hint="eastAsia" w:ascii="仿宋" w:hAnsi="仿宋" w:eastAsia="仿宋" w:cs="仿宋"/>
                <w:b/>
                <w:bCs/>
                <w:sz w:val="24"/>
                <w:szCs w:val="24"/>
                <w:vertAlign w:val="baseline"/>
                <w:lang w:eastAsia="zh-CN"/>
              </w:rPr>
              <w:t>交换生</w:t>
            </w:r>
            <w:r>
              <w:rPr>
                <w:rFonts w:hint="eastAsia" w:ascii="仿宋" w:hAnsi="仿宋" w:eastAsia="仿宋" w:cs="仿宋"/>
                <w:b/>
                <w:bCs/>
                <w:sz w:val="24"/>
                <w:szCs w:val="24"/>
                <w:vertAlign w:val="baseline"/>
                <w:lang w:val="en-US" w:eastAsia="zh-CN"/>
              </w:rPr>
              <w:t>5人（土木工程与建筑学院2名；商学院1名，其余2名）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7"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087"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eastAsia="zh-CN"/>
              </w:rPr>
              <w:t>英国斯旺西大学</w:t>
            </w:r>
          </w:p>
        </w:tc>
        <w:tc>
          <w:tcPr>
            <w:tcW w:w="1710" w:type="dxa"/>
            <w:vAlign w:val="top"/>
          </w:tcPr>
          <w:p>
            <w:pPr>
              <w:pStyle w:val="5"/>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outlineLvl w:val="9"/>
              <w:rPr>
                <w:rFonts w:hint="eastAsia" w:ascii="仿宋" w:hAnsi="仿宋" w:eastAsia="仿宋" w:cs="仿宋"/>
                <w:iCs/>
                <w:color w:val="000000"/>
                <w:sz w:val="24"/>
                <w:szCs w:val="24"/>
                <w:lang w:eastAsia="zh-CN"/>
              </w:rPr>
            </w:pPr>
            <w:r>
              <w:rPr>
                <w:rFonts w:hint="eastAsia" w:ascii="仿宋" w:hAnsi="仿宋" w:eastAsia="仿宋" w:cs="仿宋"/>
                <w:b/>
                <w:bCs/>
                <w:iCs/>
                <w:color w:val="000000"/>
                <w:sz w:val="24"/>
                <w:szCs w:val="24"/>
                <w:lang w:eastAsia="zh-CN"/>
              </w:rPr>
              <w:t>管理学院</w:t>
            </w:r>
            <w:r>
              <w:rPr>
                <w:rFonts w:hint="eastAsia" w:ascii="仿宋" w:hAnsi="仿宋" w:eastAsia="仿宋" w:cs="仿宋"/>
                <w:iCs/>
                <w:color w:val="000000"/>
                <w:sz w:val="24"/>
                <w:szCs w:val="24"/>
                <w:lang w:eastAsia="zh-CN"/>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9"/>
              <w:rPr>
                <w:rFonts w:hint="eastAsia" w:ascii="仿宋" w:hAnsi="仿宋" w:eastAsia="仿宋" w:cs="仿宋"/>
                <w:iCs/>
                <w:color w:val="000000"/>
                <w:sz w:val="24"/>
                <w:szCs w:val="24"/>
                <w:lang w:eastAsia="zh-CN"/>
              </w:rPr>
            </w:pPr>
            <w:r>
              <w:rPr>
                <w:rFonts w:hint="eastAsia" w:ascii="仿宋" w:hAnsi="仿宋" w:eastAsia="仿宋" w:cs="仿宋"/>
                <w:b/>
                <w:bCs/>
                <w:iCs/>
                <w:color w:val="000000"/>
                <w:sz w:val="24"/>
                <w:szCs w:val="24"/>
                <w:lang w:val="en-US" w:eastAsia="zh-CN"/>
              </w:rPr>
              <w:t>1</w:t>
            </w:r>
            <w:r>
              <w:rPr>
                <w:rFonts w:hint="eastAsia" w:ascii="仿宋" w:hAnsi="仿宋" w:eastAsia="仿宋" w:cs="仿宋"/>
                <w:iCs/>
                <w:color w:val="000000"/>
                <w:sz w:val="24"/>
                <w:szCs w:val="24"/>
                <w:lang w:val="en-US" w:eastAsia="zh-CN"/>
              </w:rPr>
              <w:t>.供应连锁管理</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9"/>
              <w:rPr>
                <w:rFonts w:hint="eastAsia" w:ascii="仿宋" w:hAnsi="仿宋" w:eastAsia="仿宋" w:cs="仿宋"/>
                <w:iCs/>
                <w:color w:val="000000"/>
                <w:sz w:val="24"/>
                <w:szCs w:val="24"/>
                <w:lang w:val="en-US" w:eastAsia="zh-CN"/>
              </w:rPr>
            </w:pPr>
            <w:r>
              <w:rPr>
                <w:rFonts w:hint="eastAsia" w:ascii="仿宋" w:hAnsi="仿宋" w:eastAsia="仿宋" w:cs="仿宋"/>
                <w:b/>
                <w:bCs/>
                <w:iCs/>
                <w:color w:val="000000"/>
                <w:sz w:val="24"/>
                <w:szCs w:val="24"/>
                <w:lang w:val="en-US" w:eastAsia="zh-CN"/>
              </w:rPr>
              <w:t>3</w:t>
            </w:r>
            <w:r>
              <w:rPr>
                <w:rFonts w:hint="eastAsia" w:ascii="仿宋" w:hAnsi="仿宋" w:eastAsia="仿宋" w:cs="仿宋"/>
                <w:iCs/>
                <w:color w:val="000000"/>
                <w:sz w:val="24"/>
                <w:szCs w:val="24"/>
                <w:lang w:val="en-US" w:eastAsia="zh-CN"/>
              </w:rPr>
              <w:t>.创业理论及小型商业管理</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9"/>
              <w:rPr>
                <w:rFonts w:hint="eastAsia" w:ascii="仿宋" w:hAnsi="仿宋" w:eastAsia="仿宋" w:cs="仿宋"/>
                <w:iCs/>
                <w:color w:val="000000"/>
                <w:sz w:val="24"/>
                <w:szCs w:val="24"/>
                <w:lang w:val="en-US" w:eastAsia="zh-CN"/>
              </w:rPr>
            </w:pPr>
            <w:r>
              <w:rPr>
                <w:rFonts w:hint="eastAsia" w:ascii="仿宋" w:hAnsi="仿宋" w:eastAsia="仿宋" w:cs="仿宋"/>
                <w:b/>
                <w:bCs/>
                <w:iCs/>
                <w:color w:val="000000"/>
                <w:sz w:val="24"/>
                <w:szCs w:val="24"/>
                <w:lang w:val="en-US" w:eastAsia="zh-CN"/>
              </w:rPr>
              <w:t>4</w:t>
            </w:r>
            <w:r>
              <w:rPr>
                <w:rFonts w:hint="eastAsia" w:ascii="仿宋" w:hAnsi="仿宋" w:eastAsia="仿宋" w:cs="仿宋"/>
                <w:iCs/>
                <w:color w:val="000000"/>
                <w:sz w:val="24"/>
                <w:szCs w:val="24"/>
                <w:lang w:val="en-US" w:eastAsia="zh-CN"/>
              </w:rPr>
              <w:t>.国际贸易</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9"/>
              <w:rPr>
                <w:rFonts w:hint="eastAsia" w:ascii="仿宋" w:hAnsi="仿宋" w:eastAsia="仿宋" w:cs="仿宋"/>
                <w:iCs/>
                <w:color w:val="000000"/>
                <w:sz w:val="24"/>
                <w:szCs w:val="24"/>
                <w:lang w:val="en-US" w:eastAsia="zh-CN"/>
              </w:rPr>
            </w:pPr>
            <w:r>
              <w:rPr>
                <w:rFonts w:hint="eastAsia" w:ascii="仿宋" w:hAnsi="仿宋" w:eastAsia="仿宋" w:cs="仿宋"/>
                <w:b/>
                <w:bCs/>
                <w:iCs/>
                <w:color w:val="000000"/>
                <w:sz w:val="24"/>
                <w:szCs w:val="24"/>
                <w:lang w:val="en-US" w:eastAsia="zh-CN"/>
              </w:rPr>
              <w:t>5</w:t>
            </w:r>
            <w:r>
              <w:rPr>
                <w:rFonts w:hint="eastAsia" w:ascii="仿宋" w:hAnsi="仿宋" w:eastAsia="仿宋" w:cs="仿宋"/>
                <w:iCs/>
                <w:color w:val="000000"/>
                <w:sz w:val="24"/>
                <w:szCs w:val="24"/>
                <w:lang w:val="en-US" w:eastAsia="zh-CN"/>
              </w:rPr>
              <w:t>.数据挖掘</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9"/>
              <w:rPr>
                <w:rFonts w:hint="eastAsia" w:ascii="仿宋" w:hAnsi="仿宋" w:eastAsia="仿宋" w:cs="仿宋"/>
                <w:iCs/>
                <w:color w:val="000000"/>
                <w:sz w:val="24"/>
                <w:szCs w:val="24"/>
                <w:lang w:eastAsia="zh-CN"/>
              </w:rPr>
            </w:pPr>
            <w:r>
              <w:rPr>
                <w:rFonts w:hint="eastAsia" w:ascii="仿宋" w:hAnsi="仿宋" w:eastAsia="仿宋" w:cs="仿宋"/>
                <w:b/>
                <w:bCs/>
                <w:iCs/>
                <w:color w:val="000000"/>
                <w:sz w:val="24"/>
                <w:szCs w:val="24"/>
                <w:lang w:val="en-US" w:eastAsia="zh-CN"/>
              </w:rPr>
              <w:t>6</w:t>
            </w:r>
            <w:r>
              <w:rPr>
                <w:rFonts w:hint="eastAsia" w:ascii="仿宋" w:hAnsi="仿宋" w:eastAsia="仿宋" w:cs="仿宋"/>
                <w:iCs/>
                <w:color w:val="000000"/>
                <w:sz w:val="24"/>
                <w:szCs w:val="24"/>
                <w:lang w:val="en-US" w:eastAsia="zh-CN"/>
              </w:rPr>
              <w:t>.领导能力</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9"/>
              <w:rPr>
                <w:rFonts w:hint="eastAsia" w:ascii="仿宋" w:hAnsi="仿宋" w:eastAsia="仿宋" w:cs="仿宋"/>
                <w:iCs/>
                <w:color w:val="000000"/>
                <w:sz w:val="24"/>
                <w:szCs w:val="24"/>
                <w:lang w:val="en-US" w:eastAsia="zh-CN"/>
              </w:rPr>
            </w:pPr>
            <w:r>
              <w:rPr>
                <w:rFonts w:hint="eastAsia" w:ascii="仿宋" w:hAnsi="仿宋" w:eastAsia="仿宋" w:cs="仿宋"/>
                <w:b/>
                <w:bCs/>
                <w:iCs/>
                <w:color w:val="000000"/>
                <w:sz w:val="24"/>
                <w:szCs w:val="24"/>
                <w:lang w:val="en-US" w:eastAsia="zh-CN"/>
              </w:rPr>
              <w:t>7</w:t>
            </w:r>
            <w:r>
              <w:rPr>
                <w:rFonts w:hint="eastAsia" w:ascii="仿宋" w:hAnsi="仿宋" w:eastAsia="仿宋" w:cs="仿宋"/>
                <w:iCs/>
                <w:color w:val="000000"/>
                <w:sz w:val="24"/>
                <w:szCs w:val="24"/>
                <w:lang w:val="en-US" w:eastAsia="zh-CN"/>
              </w:rPr>
              <w:t>.国际人力资源管理</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b/>
                <w:bCs/>
                <w:iCs/>
                <w:color w:val="000000"/>
                <w:sz w:val="24"/>
                <w:szCs w:val="24"/>
                <w:lang w:val="en-US" w:eastAsia="zh-CN"/>
              </w:rPr>
              <w:t>8</w:t>
            </w:r>
            <w:r>
              <w:rPr>
                <w:rFonts w:hint="eastAsia" w:ascii="仿宋" w:hAnsi="仿宋" w:eastAsia="仿宋" w:cs="仿宋"/>
                <w:iCs/>
                <w:color w:val="000000"/>
                <w:sz w:val="24"/>
                <w:szCs w:val="24"/>
                <w:lang w:val="en-US" w:eastAsia="zh-CN"/>
              </w:rPr>
              <w:t>.策略分析</w:t>
            </w:r>
          </w:p>
        </w:tc>
        <w:tc>
          <w:tcPr>
            <w:tcW w:w="243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20" w:beforeLines="50" w:after="120" w:afterLines="50" w:line="240" w:lineRule="auto"/>
              <w:ind w:leftChars="0"/>
              <w:jc w:val="left"/>
              <w:textAlignment w:val="auto"/>
              <w:outlineLvl w:val="9"/>
              <w:rPr>
                <w:rFonts w:hint="eastAsia" w:ascii="仿宋" w:hAnsi="仿宋" w:eastAsia="仿宋" w:cs="仿宋"/>
                <w:b/>
                <w:bCs/>
                <w:iCs/>
                <w:color w:val="000000"/>
                <w:kern w:val="2"/>
                <w:sz w:val="24"/>
                <w:szCs w:val="24"/>
                <w:lang w:val="en-US" w:eastAsia="zh-CN" w:bidi="ar-SA"/>
              </w:rPr>
            </w:pPr>
            <w:r>
              <w:rPr>
                <w:rFonts w:hint="eastAsia" w:ascii="仿宋" w:hAnsi="仿宋" w:eastAsia="仿宋" w:cs="仿宋"/>
                <w:b/>
                <w:bCs/>
                <w:iCs/>
                <w:color w:val="000000"/>
                <w:kern w:val="2"/>
                <w:sz w:val="24"/>
                <w:szCs w:val="24"/>
                <w:lang w:val="en-US" w:eastAsia="zh-CN" w:bidi="ar-SA"/>
              </w:rPr>
              <w:t>3+1+1项目：</w:t>
            </w:r>
          </w:p>
          <w:p>
            <w:pPr>
              <w:keepNext w:val="0"/>
              <w:keepLines w:val="0"/>
              <w:pageBreakBefore w:val="0"/>
              <w:widowControl w:val="0"/>
              <w:kinsoku/>
              <w:wordWrap/>
              <w:overflowPunct/>
              <w:topLinePunct w:val="0"/>
              <w:autoSpaceDE/>
              <w:autoSpaceDN/>
              <w:bidi w:val="0"/>
              <w:adjustRightInd/>
              <w:snapToGrid/>
              <w:spacing w:before="120" w:beforeLines="50" w:after="120" w:afterLines="50" w:line="240" w:lineRule="auto"/>
              <w:jc w:val="left"/>
              <w:textAlignment w:val="auto"/>
              <w:outlineLvl w:val="9"/>
              <w:rPr>
                <w:rFonts w:hint="eastAsia" w:ascii="仿宋" w:hAnsi="仿宋" w:eastAsia="仿宋" w:cs="仿宋"/>
                <w:iCs/>
                <w:color w:val="000000"/>
                <w:kern w:val="2"/>
                <w:sz w:val="24"/>
                <w:szCs w:val="24"/>
                <w:lang w:val="en-US" w:eastAsia="zh-CN" w:bidi="ar-SA"/>
              </w:rPr>
            </w:pPr>
            <w:r>
              <w:rPr>
                <w:rFonts w:hint="eastAsia" w:ascii="仿宋" w:hAnsi="仿宋" w:eastAsia="仿宋" w:cs="仿宋"/>
                <w:iCs/>
                <w:color w:val="000000"/>
                <w:kern w:val="2"/>
                <w:sz w:val="24"/>
                <w:szCs w:val="24"/>
                <w:lang w:val="en-US" w:eastAsia="zh-CN" w:bidi="ar-SA"/>
              </w:rPr>
              <w:t>学生在武夷学院完成为期3年的本科阶段学习，以访问学生的方式进入斯旺西大学参加第四年的全日制学习（该学年学分由武夷学院认定），学习合格者获得申请进入斯旺西管理学院相应研究生专业学习的资格。</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 xml:space="preserve"> </w:t>
            </w:r>
          </w:p>
        </w:tc>
        <w:tc>
          <w:tcPr>
            <w:tcW w:w="3765" w:type="dxa"/>
            <w:vAlign w:val="top"/>
          </w:tcPr>
          <w:p>
            <w:pPr>
              <w:pStyle w:val="6"/>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jc w:val="left"/>
              <w:textAlignment w:val="auto"/>
              <w:outlineLvl w:val="9"/>
              <w:rPr>
                <w:rFonts w:hint="eastAsia" w:ascii="仿宋" w:hAnsi="仿宋" w:eastAsia="仿宋" w:cs="仿宋"/>
                <w:b/>
                <w:bCs/>
                <w:iCs/>
                <w:color w:val="000000"/>
                <w:kern w:val="2"/>
                <w:sz w:val="24"/>
                <w:szCs w:val="24"/>
                <w:lang w:val="en-US" w:eastAsia="zh-CN" w:bidi="ar-SA"/>
              </w:rPr>
            </w:pPr>
            <w:r>
              <w:rPr>
                <w:rFonts w:hint="eastAsia" w:ascii="仿宋" w:hAnsi="仿宋" w:eastAsia="仿宋" w:cs="仿宋"/>
                <w:b/>
                <w:bCs/>
                <w:iCs/>
                <w:color w:val="000000"/>
                <w:kern w:val="2"/>
                <w:sz w:val="24"/>
                <w:szCs w:val="24"/>
                <w:lang w:val="en-US" w:eastAsia="zh-CN" w:bidi="ar-SA"/>
              </w:rPr>
              <w:t>条件：</w:t>
            </w:r>
          </w:p>
          <w:p>
            <w:pPr>
              <w:pStyle w:val="6"/>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品学兼优，自愿申请，经学校审核推荐的武夷学院大四学生</w:t>
            </w:r>
          </w:p>
          <w:p>
            <w:pPr>
              <w:pStyle w:val="6"/>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前三年课程总平均分不低于</w:t>
            </w:r>
          </w:p>
          <w:p>
            <w:pPr>
              <w:pStyle w:val="6"/>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雅思成绩不低于</w:t>
            </w:r>
            <w:r>
              <w:rPr>
                <w:rFonts w:hint="eastAsia" w:ascii="仿宋" w:hAnsi="仿宋" w:eastAsia="仿宋" w:cs="仿宋"/>
                <w:sz w:val="24"/>
                <w:szCs w:val="24"/>
                <w:lang w:val="en-US" w:eastAsia="zh-CN"/>
              </w:rPr>
              <w:t>6分，单科成绩不低于</w:t>
            </w:r>
            <w:r>
              <w:rPr>
                <w:rFonts w:hint="eastAsia" w:ascii="仿宋" w:hAnsi="仿宋" w:eastAsia="仿宋" w:cs="仿宋"/>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jc w:val="both"/>
              <w:textAlignment w:val="auto"/>
              <w:outlineLvl w:val="9"/>
              <w:rPr>
                <w:rFonts w:hint="eastAsia" w:ascii="仿宋" w:hAnsi="仿宋" w:eastAsia="仿宋" w:cs="仿宋"/>
                <w:b/>
                <w:sz w:val="24"/>
                <w:szCs w:val="24"/>
                <w:lang w:eastAsia="zh-CN"/>
              </w:rPr>
            </w:pPr>
            <w:r>
              <w:rPr>
                <w:rFonts w:hint="eastAsia" w:ascii="仿宋" w:hAnsi="仿宋" w:eastAsia="仿宋" w:cs="仿宋"/>
                <w:b/>
                <w:sz w:val="24"/>
                <w:szCs w:val="24"/>
                <w:lang w:eastAsia="zh-CN"/>
              </w:rPr>
              <w:t>研究生入学条件</w:t>
            </w:r>
          </w:p>
          <w:p>
            <w:pPr>
              <w:pStyle w:val="6"/>
              <w:keepNext w:val="0"/>
              <w:keepLines w:val="0"/>
              <w:pageBreakBefore w:val="0"/>
              <w:widowControl w:val="0"/>
              <w:numPr>
                <w:ilvl w:val="0"/>
                <w:numId w:val="4"/>
              </w:numPr>
              <w:kinsoku/>
              <w:wordWrap/>
              <w:overflowPunct/>
              <w:topLinePunct w:val="0"/>
              <w:autoSpaceDE/>
              <w:autoSpaceDN/>
              <w:bidi w:val="0"/>
              <w:adjustRightInd/>
              <w:snapToGrid/>
              <w:spacing w:line="240" w:lineRule="auto"/>
              <w:ind w:left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本科学习期间平均分不低于</w:t>
            </w:r>
            <w:r>
              <w:rPr>
                <w:rFonts w:hint="eastAsia" w:ascii="仿宋" w:hAnsi="仿宋" w:eastAsia="仿宋" w:cs="仿宋"/>
                <w:sz w:val="24"/>
                <w:szCs w:val="24"/>
                <w:lang w:val="en-US" w:eastAsia="zh-CN"/>
              </w:rPr>
              <w:t>75分</w:t>
            </w:r>
          </w:p>
          <w:p>
            <w:pPr>
              <w:pStyle w:val="6"/>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获得斯旺西大学</w:t>
            </w:r>
            <w:r>
              <w:rPr>
                <w:rFonts w:hint="eastAsia" w:ascii="仿宋" w:hAnsi="仿宋" w:eastAsia="仿宋" w:cs="仿宋"/>
                <w:sz w:val="24"/>
                <w:szCs w:val="24"/>
                <w:lang w:val="en-US" w:eastAsia="zh-CN"/>
              </w:rPr>
              <w:t>80个学分</w:t>
            </w:r>
          </w:p>
          <w:p>
            <w:pPr>
              <w:pStyle w:val="6"/>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在斯旺西大学访学一年期间均有参加管理专业的英语课程学习</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outlineLvl w:val="9"/>
              <w:rPr>
                <w:rFonts w:hint="eastAsia" w:ascii="仿宋" w:hAnsi="仿宋" w:eastAsia="仿宋" w:cs="仿宋"/>
                <w:sz w:val="24"/>
                <w:szCs w:val="24"/>
                <w:vertAlign w:val="baseline"/>
                <w:lang w:eastAsia="zh-CN"/>
              </w:rPr>
            </w:pPr>
          </w:p>
        </w:tc>
        <w:tc>
          <w:tcPr>
            <w:tcW w:w="4230" w:type="dxa"/>
            <w:vAlign w:val="top"/>
          </w:tcPr>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420" w:leftChars="0" w:hanging="420" w:firstLineChars="0"/>
              <w:jc w:val="left"/>
              <w:textAlignment w:val="auto"/>
              <w:outlineLvl w:val="9"/>
              <w:rPr>
                <w:rFonts w:hint="eastAsia" w:ascii="仿宋" w:hAnsi="仿宋" w:eastAsia="仿宋" w:cs="仿宋"/>
                <w:sz w:val="24"/>
                <w:szCs w:val="24"/>
                <w:lang w:val="en-GB"/>
              </w:rPr>
            </w:pPr>
            <w:r>
              <w:rPr>
                <w:rFonts w:hint="eastAsia" w:ascii="仿宋" w:hAnsi="仿宋" w:eastAsia="仿宋" w:cs="仿宋"/>
                <w:sz w:val="24"/>
                <w:szCs w:val="24"/>
                <w:lang w:val="en-US" w:eastAsia="zh-CN"/>
              </w:rPr>
              <w:t>1.</w:t>
            </w:r>
            <w:r>
              <w:rPr>
                <w:rFonts w:hint="eastAsia" w:ascii="仿宋" w:hAnsi="仿宋" w:eastAsia="仿宋" w:cs="仿宋"/>
                <w:sz w:val="24"/>
                <w:szCs w:val="24"/>
                <w:lang w:val="en-GB" w:eastAsia="zh-CN"/>
              </w:rPr>
              <w:t>免交武夷学院第四年学费；</w:t>
            </w:r>
            <w:r>
              <w:rPr>
                <w:rFonts w:hint="eastAsia" w:ascii="仿宋" w:hAnsi="仿宋" w:eastAsia="仿宋" w:cs="仿宋"/>
                <w:sz w:val="24"/>
                <w:szCs w:val="24"/>
                <w:lang w:val="en-US" w:eastAsia="zh-CN"/>
              </w:rPr>
              <w:t>2.</w:t>
            </w:r>
            <w:r>
              <w:rPr>
                <w:rFonts w:hint="eastAsia" w:ascii="仿宋" w:hAnsi="仿宋" w:eastAsia="仿宋" w:cs="仿宋"/>
                <w:sz w:val="24"/>
                <w:szCs w:val="24"/>
                <w:lang w:val="en-GB" w:eastAsia="zh-CN"/>
              </w:rPr>
              <w:t>研究生申请入学成功者获得</w:t>
            </w:r>
            <w:r>
              <w:rPr>
                <w:rFonts w:hint="eastAsia" w:ascii="仿宋" w:hAnsi="仿宋" w:eastAsia="仿宋" w:cs="仿宋"/>
                <w:sz w:val="24"/>
                <w:szCs w:val="24"/>
                <w:lang w:val="en-US" w:eastAsia="zh-CN"/>
              </w:rPr>
              <w:t>1000 英镑奖学金</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4"/>
                <w:szCs w:val="24"/>
                <w:vertAlign w:val="baseline"/>
                <w:lang w:val="en-US" w:eastAsia="zh-CN"/>
              </w:rPr>
            </w:pPr>
          </w:p>
        </w:tc>
        <w:tc>
          <w:tcPr>
            <w:tcW w:w="1305"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7"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087"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val="en-US" w:eastAsia="zh-CN"/>
              </w:rPr>
              <w:t>英国亚伯大学</w:t>
            </w:r>
          </w:p>
        </w:tc>
        <w:tc>
          <w:tcPr>
            <w:tcW w:w="1710" w:type="dxa"/>
            <w:vAlign w:val="top"/>
          </w:tcPr>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420" w:leftChars="0" w:hanging="420" w:firstLineChars="0"/>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计算机专业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（若武夷学院学生选择在第四学年的下半年赴亚伯大学计算机科学系学习一学期，其学费将有一定折扣（详情见文件））</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420" w:leftChars="0" w:hanging="420" w:firstLineChars="0"/>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其他专业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outlineLvl w:val="9"/>
              <w:rPr>
                <w:rFonts w:hint="eastAsia" w:ascii="仿宋" w:hAnsi="仿宋" w:eastAsia="仿宋" w:cs="仿宋"/>
                <w:b/>
                <w:bCs/>
                <w:iCs/>
                <w:color w:val="000000"/>
                <w:sz w:val="24"/>
                <w:szCs w:val="24"/>
                <w:lang w:val="en-US" w:eastAsia="zh-CN"/>
              </w:rPr>
            </w:pPr>
          </w:p>
        </w:tc>
        <w:tc>
          <w:tcPr>
            <w:tcW w:w="2430" w:type="dxa"/>
            <w:vAlign w:val="top"/>
          </w:tcPr>
          <w:p>
            <w:pPr>
              <w:keepNext w:val="0"/>
              <w:keepLines w:val="0"/>
              <w:pageBreakBefore w:val="0"/>
              <w:widowControl w:val="0"/>
              <w:kinsoku/>
              <w:wordWrap/>
              <w:overflowPunct/>
              <w:topLinePunct w:val="0"/>
              <w:autoSpaceDE/>
              <w:autoSpaceDN/>
              <w:bidi w:val="0"/>
              <w:adjustRightInd/>
              <w:snapToGrid/>
              <w:spacing w:before="120" w:beforeLines="50" w:after="120" w:afterLines="50" w:line="320" w:lineRule="exact"/>
              <w:jc w:val="left"/>
              <w:textAlignment w:val="auto"/>
              <w:outlineLvl w:val="9"/>
              <w:rPr>
                <w:rFonts w:hint="eastAsia" w:ascii="仿宋" w:hAnsi="仿宋" w:eastAsia="仿宋" w:cs="仿宋"/>
                <w:b/>
                <w:bCs/>
                <w:iCs/>
                <w:color w:val="000000"/>
                <w:kern w:val="2"/>
                <w:sz w:val="24"/>
                <w:szCs w:val="24"/>
                <w:lang w:val="en-US" w:eastAsia="zh-CN" w:bidi="ar-SA"/>
              </w:rPr>
            </w:pPr>
            <w:r>
              <w:rPr>
                <w:rFonts w:hint="eastAsia" w:ascii="仿宋" w:hAnsi="仿宋" w:eastAsia="仿宋" w:cs="仿宋"/>
                <w:b/>
                <w:bCs/>
                <w:iCs/>
                <w:color w:val="000000"/>
                <w:kern w:val="2"/>
                <w:sz w:val="24"/>
                <w:szCs w:val="24"/>
                <w:lang w:val="en-US" w:eastAsia="zh-CN" w:bidi="ar-SA"/>
              </w:rPr>
              <w:t>海外学习硕士生课程教育合作项目：</w:t>
            </w:r>
          </w:p>
          <w:p>
            <w:pPr>
              <w:keepNext w:val="0"/>
              <w:keepLines w:val="0"/>
              <w:pageBreakBefore w:val="0"/>
              <w:widowControl w:val="0"/>
              <w:kinsoku/>
              <w:wordWrap/>
              <w:overflowPunct/>
              <w:topLinePunct w:val="0"/>
              <w:autoSpaceDE/>
              <w:autoSpaceDN/>
              <w:bidi w:val="0"/>
              <w:adjustRightInd/>
              <w:snapToGrid/>
              <w:spacing w:before="120" w:beforeLines="50" w:after="120" w:afterLines="50" w:line="240" w:lineRule="auto"/>
              <w:jc w:val="left"/>
              <w:textAlignment w:val="auto"/>
              <w:outlineLvl w:val="9"/>
              <w:rPr>
                <w:rFonts w:hint="eastAsia" w:ascii="仿宋" w:hAnsi="仿宋" w:eastAsia="仿宋" w:cs="仿宋"/>
                <w:iCs/>
                <w:color w:val="000000"/>
                <w:kern w:val="2"/>
                <w:sz w:val="24"/>
                <w:szCs w:val="24"/>
                <w:lang w:val="en-US" w:eastAsia="zh-CN" w:bidi="ar-SA"/>
              </w:rPr>
            </w:pPr>
            <w:r>
              <w:rPr>
                <w:rFonts w:hint="eastAsia" w:ascii="仿宋" w:hAnsi="仿宋" w:eastAsia="仿宋" w:cs="仿宋"/>
                <w:iCs/>
                <w:color w:val="000000"/>
                <w:kern w:val="2"/>
                <w:sz w:val="24"/>
                <w:szCs w:val="24"/>
                <w:lang w:val="en-US" w:eastAsia="zh-CN" w:bidi="ar-SA"/>
              </w:rPr>
              <w:t>武夷学院毕业生在武夷学院完成至少为期3年的本科阶段学习，并在亚伯大学通过为期1年的海外学习后，可向亚伯大学提出申请，获得录取后即可进入其开设的相关硕士生课程学习。（学生在SYA项目中所获得的学分将用于构成申请武夷学院学士学位所需的部分学分。）</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4"/>
                <w:szCs w:val="24"/>
              </w:rPr>
            </w:pPr>
          </w:p>
        </w:tc>
        <w:tc>
          <w:tcPr>
            <w:tcW w:w="3765" w:type="dxa"/>
            <w:vAlign w:val="top"/>
          </w:tcPr>
          <w:p>
            <w:pPr>
              <w:keepNext w:val="0"/>
              <w:keepLines w:val="0"/>
              <w:pageBreakBefore w:val="0"/>
              <w:widowControl w:val="0"/>
              <w:kinsoku/>
              <w:wordWrap/>
              <w:overflowPunct/>
              <w:topLinePunct w:val="0"/>
              <w:autoSpaceDE/>
              <w:autoSpaceDN/>
              <w:bidi w:val="0"/>
              <w:adjustRightInd/>
              <w:snapToGrid/>
              <w:spacing w:before="120" w:beforeLines="50" w:after="120" w:afterLines="50" w:line="320" w:lineRule="exact"/>
              <w:jc w:val="left"/>
              <w:textAlignment w:val="auto"/>
              <w:outlineLvl w:val="9"/>
              <w:rPr>
                <w:rFonts w:hint="eastAsia" w:ascii="仿宋" w:hAnsi="仿宋" w:eastAsia="仿宋" w:cs="仿宋"/>
                <w:b/>
                <w:bCs/>
                <w:iCs/>
                <w:color w:val="000000"/>
                <w:kern w:val="2"/>
                <w:sz w:val="24"/>
                <w:szCs w:val="24"/>
                <w:lang w:val="en-US" w:eastAsia="zh-CN" w:bidi="ar-SA"/>
              </w:rPr>
            </w:pPr>
            <w:r>
              <w:rPr>
                <w:rFonts w:hint="eastAsia" w:ascii="仿宋" w:hAnsi="仿宋" w:eastAsia="仿宋" w:cs="仿宋"/>
                <w:b/>
                <w:bCs/>
                <w:iCs/>
                <w:color w:val="000000"/>
                <w:kern w:val="2"/>
                <w:sz w:val="24"/>
                <w:szCs w:val="24"/>
                <w:lang w:val="en-US" w:eastAsia="zh-CN" w:bidi="ar-SA"/>
              </w:rPr>
              <w:t>条件：</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品学兼优，自愿申请，</w:t>
            </w:r>
            <w:r>
              <w:rPr>
                <w:rFonts w:hint="eastAsia" w:ascii="仿宋" w:hAnsi="仿宋" w:eastAsia="仿宋" w:cs="仿宋"/>
                <w:sz w:val="24"/>
                <w:szCs w:val="24"/>
                <w:vertAlign w:val="baseline"/>
                <w:lang w:val="en-US" w:eastAsia="zh-CN"/>
              </w:rPr>
              <w:t>在武夷学院完成1-3年的专业课程学习；</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前一年在武夷学院的平均成绩达70分以上（百分制）；</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vertAlign w:val="baseline"/>
                <w:lang w:eastAsia="zh-CN"/>
              </w:rPr>
              <w:t>对英语熟悉程度的最低要求为：雅思6.0分，且单科成绩为5.5或以上；</w:t>
            </w:r>
          </w:p>
          <w:p>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硕士生申请条件：</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kern w:val="13"/>
                <w:sz w:val="24"/>
                <w:szCs w:val="24"/>
                <w:lang w:val="en-US" w:eastAsia="zh-CN" w:bidi="ar-SA"/>
              </w:rPr>
            </w:pPr>
            <w:r>
              <w:rPr>
                <w:rFonts w:hint="eastAsia" w:ascii="仿宋" w:hAnsi="仿宋" w:eastAsia="仿宋" w:cs="仿宋"/>
                <w:kern w:val="13"/>
                <w:sz w:val="24"/>
                <w:szCs w:val="24"/>
                <w:vertAlign w:val="baseline"/>
                <w:lang w:val="en-US" w:eastAsia="zh-CN"/>
              </w:rPr>
              <w:t>从武夷学院顺利毕业，已获得武夷学院授予的学士学位；</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kern w:val="13"/>
                <w:sz w:val="24"/>
                <w:szCs w:val="24"/>
                <w:lang w:val="en-US" w:eastAsia="zh-CN" w:bidi="ar-SA"/>
              </w:rPr>
            </w:pPr>
            <w:r>
              <w:rPr>
                <w:rFonts w:hint="eastAsia" w:ascii="仿宋" w:hAnsi="仿宋" w:eastAsia="仿宋" w:cs="仿宋"/>
                <w:kern w:val="13"/>
                <w:sz w:val="24"/>
                <w:szCs w:val="24"/>
                <w:lang w:val="en-US" w:eastAsia="zh-CN" w:bidi="ar-SA"/>
              </w:rPr>
              <w:t>在亚伯大学顺利通过至少为期1年的SYA课程；</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kern w:val="13"/>
                <w:sz w:val="24"/>
                <w:szCs w:val="24"/>
                <w:lang w:val="en-US" w:eastAsia="zh-CN" w:bidi="ar-SA"/>
              </w:rPr>
            </w:pPr>
            <w:r>
              <w:rPr>
                <w:rFonts w:hint="eastAsia" w:ascii="仿宋" w:hAnsi="仿宋" w:eastAsia="仿宋" w:cs="仿宋"/>
                <w:kern w:val="13"/>
                <w:sz w:val="24"/>
                <w:szCs w:val="24"/>
                <w:lang w:val="en-US" w:eastAsia="zh-CN" w:bidi="ar-SA"/>
              </w:rPr>
              <w:t>满足所选硕士生课程的所有录取要求；</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iCs/>
                <w:color w:val="000000"/>
                <w:kern w:val="13"/>
                <w:sz w:val="24"/>
                <w:szCs w:val="24"/>
                <w:lang w:val="en-US" w:eastAsia="zh-CN" w:bidi="ar-SA"/>
              </w:rPr>
            </w:pPr>
            <w:r>
              <w:rPr>
                <w:rFonts w:hint="eastAsia" w:ascii="仿宋" w:hAnsi="仿宋" w:eastAsia="仿宋" w:cs="仿宋"/>
                <w:kern w:val="13"/>
                <w:sz w:val="24"/>
                <w:szCs w:val="24"/>
                <w:lang w:val="en-US" w:eastAsia="zh-CN" w:bidi="ar-SA"/>
              </w:rPr>
              <w:t>对于只在亚伯大学的SYA课程学习了一学期的学生，被亚伯大学的研究生录取后，可攻读其学科的硕士生课程。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 w:hAnsi="仿宋" w:eastAsia="仿宋" w:cs="仿宋"/>
                <w:sz w:val="24"/>
                <w:szCs w:val="24"/>
              </w:rPr>
            </w:pPr>
          </w:p>
        </w:tc>
        <w:tc>
          <w:tcPr>
            <w:tcW w:w="4230" w:type="dxa"/>
            <w:vAlign w:val="top"/>
          </w:tcPr>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第二阶段和第三阶段可享受亚伯大学提供给合作学校相当于10%的学费折扣奖学金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outlineLvl w:val="9"/>
              <w:rPr>
                <w:rFonts w:hint="eastAsia" w:ascii="仿宋" w:hAnsi="仿宋" w:eastAsia="仿宋" w:cs="仿宋"/>
                <w:sz w:val="24"/>
                <w:szCs w:val="24"/>
                <w:vertAlign w:val="baseline"/>
                <w:lang w:val="en-US" w:eastAsia="zh-CN"/>
              </w:rPr>
            </w:pPr>
          </w:p>
        </w:tc>
        <w:tc>
          <w:tcPr>
            <w:tcW w:w="1305"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7"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087"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土耳其梅尔辛大学</w:t>
            </w:r>
          </w:p>
        </w:tc>
        <w:tc>
          <w:tcPr>
            <w:tcW w:w="1710"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eastAsia="zh-CN"/>
              </w:rPr>
              <w:t>以旅游为主</w:t>
            </w:r>
          </w:p>
        </w:tc>
        <w:tc>
          <w:tcPr>
            <w:tcW w:w="2430"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4"/>
                <w:szCs w:val="24"/>
              </w:rPr>
            </w:pPr>
          </w:p>
        </w:tc>
        <w:tc>
          <w:tcPr>
            <w:tcW w:w="3765"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4"/>
                <w:szCs w:val="24"/>
              </w:rPr>
            </w:pPr>
          </w:p>
        </w:tc>
        <w:tc>
          <w:tcPr>
            <w:tcW w:w="423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交换生缴交派出方学费，其余费用，如健康中心费，学生活动费，课堂活动费，强制保险费或电脑使用费等由交换生按标准想接收方支付。如果学生在梅尔辛大学修习每学期超过18个学分，则需要额外支付超出部分的学费。所有其他费用，包括旅行，住宿，膳食，健康保险，教科书和生活费用均由学生自己行负担。</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iCs/>
                <w:color w:val="000000"/>
                <w:kern w:val="2"/>
                <w:sz w:val="24"/>
                <w:szCs w:val="24"/>
                <w:lang w:val="en-US" w:eastAsia="zh-CN" w:bidi="ar-SA"/>
              </w:rPr>
            </w:pPr>
            <w:r>
              <w:rPr>
                <w:rFonts w:hint="eastAsia" w:ascii="仿宋" w:hAnsi="仿宋" w:eastAsia="仿宋" w:cs="仿宋"/>
                <w:sz w:val="24"/>
                <w:szCs w:val="24"/>
                <w:vertAlign w:val="baseline"/>
                <w:lang w:val="en-US" w:eastAsia="zh-CN"/>
              </w:rPr>
              <w:t>2.每位交换生必须买足交换期间的保险。来自武夷学院的J-1（访问学者签证，下同。）交换生需要购买梅尔辛大学统一要求的保险方案。未购买相关保险的学生因违反了学生签证身份证的规定而面临被遣返的处罚。</w:t>
            </w:r>
          </w:p>
        </w:tc>
        <w:tc>
          <w:tcPr>
            <w:tcW w:w="1305"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需先学土耳其语</w:t>
            </w:r>
          </w:p>
        </w:tc>
      </w:tr>
    </w:tbl>
    <w:p>
      <w:pPr>
        <w:rPr>
          <w:rFonts w:hint="eastAsia"/>
          <w:lang w:val="en-US" w:eastAsia="zh-CN"/>
        </w:rPr>
      </w:pPr>
    </w:p>
    <w:sectPr>
      <w:pgSz w:w="16838" w:h="11906" w:orient="landscape"/>
      <w:pgMar w:top="1406" w:right="1440" w:bottom="1406"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4AF2B5"/>
    <w:multiLevelType w:val="singleLevel"/>
    <w:tmpl w:val="9C4AF2B5"/>
    <w:lvl w:ilvl="0" w:tentative="0">
      <w:start w:val="1"/>
      <w:numFmt w:val="bullet"/>
      <w:lvlText w:val=""/>
      <w:lvlJc w:val="left"/>
      <w:pPr>
        <w:ind w:left="420" w:hanging="420"/>
      </w:pPr>
      <w:rPr>
        <w:rFonts w:hint="default" w:ascii="Wingdings" w:hAnsi="Wingdings"/>
      </w:rPr>
    </w:lvl>
  </w:abstractNum>
  <w:abstractNum w:abstractNumId="1">
    <w:nsid w:val="E2C0966A"/>
    <w:multiLevelType w:val="singleLevel"/>
    <w:tmpl w:val="E2C0966A"/>
    <w:lvl w:ilvl="0" w:tentative="0">
      <w:start w:val="1"/>
      <w:numFmt w:val="bullet"/>
      <w:lvlText w:val=""/>
      <w:lvlJc w:val="left"/>
      <w:pPr>
        <w:ind w:left="420" w:hanging="420"/>
      </w:pPr>
      <w:rPr>
        <w:rFonts w:hint="default" w:ascii="Wingdings" w:hAnsi="Wingdings"/>
      </w:rPr>
    </w:lvl>
  </w:abstractNum>
  <w:abstractNum w:abstractNumId="2">
    <w:nsid w:val="EE5A1229"/>
    <w:multiLevelType w:val="singleLevel"/>
    <w:tmpl w:val="EE5A1229"/>
    <w:lvl w:ilvl="0" w:tentative="0">
      <w:start w:val="1"/>
      <w:numFmt w:val="bullet"/>
      <w:lvlText w:val=""/>
      <w:lvlJc w:val="left"/>
      <w:pPr>
        <w:ind w:left="420" w:hanging="420"/>
      </w:pPr>
      <w:rPr>
        <w:rFonts w:hint="default" w:ascii="Wingdings" w:hAnsi="Wingdings"/>
      </w:rPr>
    </w:lvl>
  </w:abstractNum>
  <w:abstractNum w:abstractNumId="3">
    <w:nsid w:val="05D24F17"/>
    <w:multiLevelType w:val="singleLevel"/>
    <w:tmpl w:val="05D24F17"/>
    <w:lvl w:ilvl="0" w:tentative="0">
      <w:start w:val="1"/>
      <w:numFmt w:val="bullet"/>
      <w:lvlText w:val=""/>
      <w:lvlJc w:val="left"/>
      <w:pPr>
        <w:ind w:left="420" w:hanging="420"/>
      </w:pPr>
      <w:rPr>
        <w:rFonts w:hint="default" w:ascii="Wingdings" w:hAnsi="Wingdings"/>
      </w:rPr>
    </w:lvl>
  </w:abstractNum>
  <w:abstractNum w:abstractNumId="4">
    <w:nsid w:val="2B4AE292"/>
    <w:multiLevelType w:val="singleLevel"/>
    <w:tmpl w:val="2B4AE292"/>
    <w:lvl w:ilvl="0" w:tentative="0">
      <w:start w:val="1"/>
      <w:numFmt w:val="decimal"/>
      <w:lvlText w:val="%1."/>
      <w:lvlJc w:val="left"/>
      <w:pPr>
        <w:ind w:left="425" w:hanging="425"/>
      </w:pPr>
      <w:rPr>
        <w:rFonts w:hint="default"/>
      </w:rPr>
    </w:lvl>
  </w:abstractNum>
  <w:abstractNum w:abstractNumId="5">
    <w:nsid w:val="4573B027"/>
    <w:multiLevelType w:val="singleLevel"/>
    <w:tmpl w:val="4573B027"/>
    <w:lvl w:ilvl="0" w:tentative="0">
      <w:start w:val="1"/>
      <w:numFmt w:val="bullet"/>
      <w:lvlText w:val=""/>
      <w:lvlJc w:val="left"/>
      <w:pPr>
        <w:ind w:left="420" w:hanging="420"/>
      </w:pPr>
      <w:rPr>
        <w:rFonts w:hint="default" w:ascii="Wingdings" w:hAnsi="Wingdings"/>
      </w:rPr>
    </w:lvl>
  </w:abstractNum>
  <w:abstractNum w:abstractNumId="6">
    <w:nsid w:val="5A4ED4AB"/>
    <w:multiLevelType w:val="singleLevel"/>
    <w:tmpl w:val="5A4ED4AB"/>
    <w:lvl w:ilvl="0" w:tentative="0">
      <w:start w:val="1"/>
      <w:numFmt w:val="decimal"/>
      <w:suff w:val="space"/>
      <w:lvlText w:val="%1."/>
      <w:lvlJc w:val="left"/>
    </w:lvl>
  </w:abstractNum>
  <w:abstractNum w:abstractNumId="7">
    <w:nsid w:val="5D5818B0"/>
    <w:multiLevelType w:val="singleLevel"/>
    <w:tmpl w:val="5D5818B0"/>
    <w:lvl w:ilvl="0" w:tentative="0">
      <w:start w:val="1"/>
      <w:numFmt w:val="decimal"/>
      <w:lvlText w:val="%1."/>
      <w:lvlJc w:val="left"/>
      <w:pPr>
        <w:tabs>
          <w:tab w:val="left" w:pos="312"/>
        </w:tabs>
      </w:pPr>
    </w:lvl>
  </w:abstractNum>
  <w:num w:numId="1">
    <w:abstractNumId w:val="0"/>
  </w:num>
  <w:num w:numId="2">
    <w:abstractNumId w:val="7"/>
  </w:num>
  <w:num w:numId="3">
    <w:abstractNumId w:val="1"/>
  </w:num>
  <w:num w:numId="4">
    <w:abstractNumId w:val="6"/>
  </w:num>
  <w:num w:numId="5">
    <w:abstractNumId w:val="3"/>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AC2E0F"/>
    <w:rsid w:val="0A270027"/>
    <w:rsid w:val="10B07F07"/>
    <w:rsid w:val="2F41038B"/>
    <w:rsid w:val="3CA9008B"/>
    <w:rsid w:val="52361114"/>
    <w:rsid w:val="529A5E3A"/>
    <w:rsid w:val="63AC2E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5">
    <w:name w:val="List Paragraph"/>
    <w:basedOn w:val="1"/>
    <w:qFormat/>
    <w:uiPriority w:val="99"/>
    <w:pPr>
      <w:ind w:left="720"/>
      <w:contextualSpacing/>
    </w:pPr>
  </w:style>
  <w:style w:type="paragraph" w:styleId="6">
    <w:name w:val="No Spacing"/>
    <w:qFormat/>
    <w:uiPriority w:val="1"/>
    <w:rPr>
      <w:rFonts w:ascii="Calibri" w:hAnsi="Calibri" w:eastAsia="宋体" w:cs="Times New Roman"/>
      <w:kern w:val="0"/>
      <w:sz w:val="22"/>
      <w:szCs w:val="22"/>
      <w:lang w:val="en-GB"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2018-05-24T07:33:00Z</dcterms:created>
  <dc:creator>Administrator</dc:creator>
  <cp:lastModifiedBy>Blue blue big。</cp:lastModifiedBy>
  <cp:lastPrinted>2018-05-25T02:15:00Z</cp:lastPrinted>
  <dcterms:modified xsi:type="dcterms:W3CDTF">2018-05-25T09:23:58Z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