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hint="eastAsia" w:asciiTheme="majorEastAsia" w:hAnsiTheme="majorEastAsia" w:eastAsiaTheme="majorEastAsia" w:cstheme="majorEastAsia"/>
          <w:kern w:val="0"/>
          <w:sz w:val="28"/>
          <w:szCs w:val="28"/>
          <w:lang w:eastAsia="zh-CN"/>
        </w:rPr>
      </w:pPr>
      <w:r>
        <w:rPr>
          <w:rFonts w:hint="eastAsia" w:asciiTheme="majorEastAsia" w:hAnsiTheme="majorEastAsia" w:eastAsiaTheme="majorEastAsia" w:cstheme="majorEastAsia"/>
          <w:kern w:val="0"/>
          <w:sz w:val="28"/>
          <w:szCs w:val="28"/>
          <w:lang w:eastAsia="zh-CN"/>
        </w:rPr>
        <w:t>附件</w:t>
      </w:r>
      <w:r>
        <w:rPr>
          <w:rFonts w:hint="eastAsia" w:asciiTheme="majorEastAsia" w:hAnsiTheme="majorEastAsia" w:eastAsiaTheme="majorEastAsia" w:cstheme="majorEastAsia"/>
          <w:kern w:val="0"/>
          <w:sz w:val="28"/>
          <w:szCs w:val="28"/>
          <w:lang w:val="en-US" w:eastAsia="zh-CN"/>
        </w:rPr>
        <w:t>5-3</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lang w:eastAsia="zh-CN"/>
        </w:rPr>
        <w:t>武夷学院</w:t>
      </w: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武夷学院教务处</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二</w:t>
      </w:r>
      <w:r>
        <w:rPr>
          <w:rFonts w:ascii="黑体" w:hAnsi="黑体" w:eastAsia="黑体"/>
          <w:sz w:val="32"/>
          <w:szCs w:val="32"/>
        </w:rPr>
        <w:t>年</w:t>
      </w:r>
      <w:r>
        <w:rPr>
          <w:rFonts w:hint="eastAsia" w:ascii="黑体" w:hAnsi="黑体" w:eastAsia="黑体"/>
          <w:sz w:val="32"/>
          <w:szCs w:val="32"/>
          <w:lang w:eastAsia="zh-CN"/>
        </w:rPr>
        <w:t>三</w:t>
      </w:r>
      <w:r>
        <w:rPr>
          <w:rFonts w:ascii="黑体" w:hAnsi="黑体" w:eastAsia="黑体"/>
          <w:sz w:val="32"/>
          <w:szCs w:val="32"/>
        </w:rPr>
        <w:t>月</w:t>
      </w: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hint="eastAsia" w:ascii="仿宋_GB2312" w:hAnsi="仿宋_GB2312" w:eastAsia="仿宋_GB2312" w:cs="仿宋_GB2312"/>
                <w:kern w:val="0"/>
                <w:sz w:val="24"/>
                <w:szCs w:val="24"/>
              </w:rPr>
            </w:pPr>
          </w:p>
        </w:tc>
        <w:tc>
          <w:tcPr>
            <w:tcW w:w="5896"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获授权使用情况： ○</w:t>
            </w:r>
            <w:r>
              <w:rPr>
                <w:rFonts w:hint="eastAsia" w:ascii="Times New Roman" w:hAnsi="Times New Roman" w:eastAsia="仿宋_GB2312" w:cs="Times New Roman"/>
                <w:kern w:val="0"/>
                <w:sz w:val="24"/>
                <w:szCs w:val="24"/>
              </w:rPr>
              <w:t>已获</w:t>
            </w:r>
            <w:r>
              <w:rPr>
                <w:rFonts w:ascii="Times New Roman" w:hAnsi="Times New Roman" w:eastAsia="仿宋_GB2312" w:cs="Times New Roman"/>
                <w:kern w:val="0"/>
                <w:sz w:val="24"/>
                <w:szCs w:val="24"/>
              </w:rPr>
              <w:t xml:space="preserve">   </w:t>
            </w:r>
            <w:r>
              <w:rPr>
                <w:rFonts w:hint="eastAsia" w:ascii="仿宋_GB2312" w:hAnsi="仿宋_GB2312" w:eastAsia="仿宋_GB2312" w:cs="仿宋_GB2312"/>
                <w:kern w:val="0"/>
                <w:sz w:val="24"/>
                <w:szCs w:val="24"/>
              </w:rPr>
              <w:t>○</w:t>
            </w:r>
            <w:r>
              <w:rPr>
                <w:rFonts w:hint="eastAsia" w:ascii="Times New Roman" w:hAnsi="Times New Roman" w:eastAsia="仿宋_GB2312" w:cs="Times New Roman"/>
                <w:kern w:val="0"/>
                <w:sz w:val="24"/>
                <w:szCs w:val="24"/>
              </w:rPr>
              <w:t>未获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7" w:hRule="atLeast"/>
        </w:trPr>
        <w:tc>
          <w:tcPr>
            <w:tcW w:w="8522" w:type="dxa"/>
          </w:tcPr>
          <w:p>
            <w:pPr>
              <w:spacing w:line="340" w:lineRule="atLeast"/>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（本课程的建设发展历程，课程与教学改革要解决的重点问题</w:t>
            </w:r>
            <w:r>
              <w:rPr>
                <w:rFonts w:hint="eastAsia" w:ascii="仿宋_GB2312" w:hAnsi="仿宋_GB2312" w:eastAsia="仿宋_GB2312" w:cs="仿宋_GB2312"/>
                <w:color w:val="auto"/>
                <w:kern w:val="0"/>
                <w:sz w:val="24"/>
                <w:szCs w:val="24"/>
              </w:rPr>
              <w:t>，混合式教学设计，课程内容与资源建设及应用情况，教学方法改革，课程教学内容及组织实施情况。课程成绩评定方式，课程评价及改革成效等情况）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color w:val="auto"/>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七</w:t>
      </w:r>
      <w:r>
        <w:rPr>
          <w:rFonts w:hint="eastAsia" w:ascii="黑体" w:hAnsi="黑体" w:eastAsia="黑体" w:cs="黑体"/>
          <w:sz w:val="28"/>
          <w:szCs w:val="28"/>
        </w:rPr>
        <w:t>、</w:t>
      </w:r>
      <w:r>
        <w:rPr>
          <w:rFonts w:hint="eastAsia" w:ascii="黑体" w:hAnsi="黑体" w:eastAsia="黑体" w:cs="黑体"/>
          <w:sz w:val="28"/>
          <w:szCs w:val="28"/>
          <w:lang w:eastAsia="zh-CN"/>
        </w:rPr>
        <w:t>预期成果</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eastAsia="zh-CN"/>
              </w:rPr>
              <w:t>须满足以下至少</w:t>
            </w:r>
            <w:r>
              <w:rPr>
                <w:rFonts w:hint="eastAsia" w:ascii="仿宋_GB2312" w:hAnsi="仿宋_GB2312" w:eastAsia="仿宋_GB2312" w:cs="仿宋_GB2312"/>
                <w:kern w:val="0"/>
                <w:sz w:val="24"/>
                <w:szCs w:val="24"/>
                <w:lang w:val="en-US" w:eastAsia="zh-CN"/>
              </w:rPr>
              <w:t>4项。</w:t>
            </w:r>
            <w:r>
              <w:rPr>
                <w:rFonts w:hint="eastAsia" w:ascii="仿宋_GB2312" w:hAnsi="仿宋_GB2312" w:eastAsia="仿宋_GB2312" w:cs="仿宋_GB2312"/>
                <w:kern w:val="0"/>
                <w:sz w:val="24"/>
                <w:szCs w:val="24"/>
                <w:lang w:eastAsia="zh-CN"/>
              </w:rPr>
              <w:t>满足一流课程建设内涵要求的教学大纲</w:t>
            </w:r>
            <w:r>
              <w:rPr>
                <w:rFonts w:hint="eastAsia" w:ascii="仿宋_GB2312" w:hAnsi="仿宋_GB2312" w:eastAsia="仿宋_GB2312" w:cs="仿宋_GB2312"/>
                <w:kern w:val="0"/>
                <w:sz w:val="24"/>
                <w:szCs w:val="24"/>
                <w:lang w:val="en-US" w:eastAsia="zh-CN"/>
              </w:rPr>
              <w:t>（必选）</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lang w:val="en-US" w:eastAsia="zh-CN"/>
              </w:rPr>
              <w:t>10分钟的说课视频（必选）；一节代表性课程的完整教学设计和教学实施流程说明（文档中5张以上教学活动图片）（必选）；本课程教学视频录制至少40min并上传到武夷学院教务处“精品课程”平台（必选）；参与校级一流课程认定或者申报省级一流课程；教研论文等。原则上省、校级一流专业须有2门以上专业课程立项省、校级一流课程等课程建设项目</w:t>
            </w:r>
            <w:bookmarkStart w:id="0" w:name="_GoBack"/>
            <w:bookmarkEnd w:id="0"/>
            <w:r>
              <w:rPr>
                <w:rFonts w:hint="eastAsia" w:ascii="仿宋_GB2312" w:hAnsi="仿宋_GB2312" w:eastAsia="仿宋_GB2312" w:cs="仿宋_GB2312"/>
                <w:kern w:val="0"/>
                <w:sz w:val="24"/>
                <w:szCs w:val="24"/>
                <w:lang w:val="en-US" w:eastAsia="zh-CN"/>
              </w:rPr>
              <w:t>。</w:t>
            </w:r>
          </w:p>
          <w:p>
            <w:pPr>
              <w:spacing w:line="340" w:lineRule="atLeast"/>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八</w:t>
      </w:r>
      <w:r>
        <w:rPr>
          <w:rFonts w:hint="eastAsia" w:ascii="黑体" w:hAnsi="黑体" w:eastAsia="黑体" w:cs="黑体"/>
          <w:sz w:val="28"/>
          <w:szCs w:val="28"/>
        </w:rPr>
        <w:t>、附件材料清单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hint="eastAsia" w:ascii="仿宋_GB2312" w:hAnsi="仿宋_GB2312" w:eastAsia="仿宋_GB2312" w:cs="仿宋_GB2312"/>
                <w:b/>
                <w:bCs/>
                <w:color w:val="FF0000"/>
                <w:kern w:val="0"/>
                <w:sz w:val="24"/>
                <w:szCs w:val="24"/>
                <w:lang w:eastAsia="zh-CN"/>
              </w:rPr>
            </w:pPr>
            <w:r>
              <w:rPr>
                <w:rFonts w:hint="eastAsia" w:ascii="仿宋_GB2312" w:hAnsi="仿宋_GB2312" w:eastAsia="仿宋_GB2312" w:cs="仿宋_GB2312"/>
                <w:b/>
                <w:bCs/>
                <w:kern w:val="0"/>
                <w:sz w:val="24"/>
                <w:szCs w:val="24"/>
              </w:rPr>
              <w:t>1.课程负责人和团队成员的10分钟“说课”视频</w:t>
            </w:r>
            <w:r>
              <w:rPr>
                <w:rFonts w:hint="eastAsia" w:ascii="仿宋_GB2312" w:hAnsi="仿宋_GB2312" w:eastAsia="仿宋_GB2312" w:cs="仿宋_GB2312"/>
                <w:b/>
                <w:bCs/>
                <w:color w:val="FF0000"/>
                <w:kern w:val="0"/>
                <w:sz w:val="24"/>
                <w:szCs w:val="24"/>
                <w:lang w:eastAsia="zh-CN"/>
              </w:rPr>
              <w:t>（选择性提供。后续若被推荐省级一流课程时由教务处再聘请专业公司统一组织拍摄）</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r>
              <w:rPr>
                <w:rFonts w:hint="eastAsia" w:ascii="仿宋_GB2312" w:hAnsi="仿宋_GB2312" w:eastAsia="仿宋_GB2312" w:cs="仿宋_GB2312"/>
                <w:b/>
                <w:bCs/>
                <w:color w:val="FF0000"/>
                <w:kern w:val="0"/>
                <w:sz w:val="24"/>
                <w:szCs w:val="24"/>
              </w:rPr>
              <w:t>（必须提供）</w:t>
            </w:r>
          </w:p>
          <w:p>
            <w:pPr>
              <w:pStyle w:val="9"/>
              <w:adjustRightInd w:val="0"/>
              <w:snapToGrid w:val="0"/>
              <w:spacing w:line="340" w:lineRule="atLeast"/>
              <w:ind w:firstLine="48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r>
              <w:rPr>
                <w:rFonts w:hint="eastAsia" w:ascii="仿宋_GB2312" w:hAnsi="仿宋_GB2312" w:eastAsia="仿宋_GB2312" w:cs="仿宋_GB2312"/>
                <w:b/>
                <w:bCs/>
                <w:color w:val="FF0000"/>
                <w:kern w:val="0"/>
                <w:sz w:val="24"/>
                <w:szCs w:val="24"/>
              </w:rPr>
              <w:t>（必须提供）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r>
              <w:rPr>
                <w:rFonts w:hint="eastAsia" w:ascii="仿宋_GB2312" w:hAnsi="仿宋_GB2312" w:eastAsia="仿宋_GB2312" w:cs="仿宋_GB2312"/>
                <w:b/>
                <w:bCs/>
                <w:color w:val="FF0000"/>
                <w:kern w:val="0"/>
                <w:sz w:val="24"/>
                <w:szCs w:val="24"/>
              </w:rPr>
              <w:t>（</w:t>
            </w:r>
            <w:r>
              <w:rPr>
                <w:rFonts w:hint="eastAsia" w:ascii="仿宋_GB2312" w:hAnsi="仿宋_GB2312" w:eastAsia="仿宋_GB2312" w:cs="仿宋_GB2312"/>
                <w:b/>
                <w:bCs/>
                <w:color w:val="FF0000"/>
                <w:kern w:val="0"/>
                <w:sz w:val="24"/>
                <w:szCs w:val="24"/>
                <w:lang w:eastAsia="zh-CN"/>
              </w:rPr>
              <w:t>选择性</w:t>
            </w:r>
            <w:r>
              <w:rPr>
                <w:rFonts w:hint="eastAsia" w:ascii="仿宋_GB2312" w:hAnsi="仿宋_GB2312" w:eastAsia="仿宋_GB2312" w:cs="仿宋_GB2312"/>
                <w:b/>
                <w:bCs/>
                <w:color w:val="FF0000"/>
                <w:kern w:val="0"/>
                <w:sz w:val="24"/>
                <w:szCs w:val="24"/>
              </w:rPr>
              <w:t>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r>
              <w:rPr>
                <w:rFonts w:hint="eastAsia" w:ascii="仿宋_GB2312" w:hAnsi="仿宋_GB2312" w:eastAsia="仿宋_GB2312" w:cs="仿宋_GB2312"/>
                <w:b/>
                <w:bCs/>
                <w:color w:val="FF0000"/>
                <w:kern w:val="0"/>
                <w:sz w:val="24"/>
                <w:szCs w:val="24"/>
              </w:rPr>
              <w:t>（</w:t>
            </w:r>
            <w:r>
              <w:rPr>
                <w:rFonts w:hint="eastAsia" w:ascii="仿宋_GB2312" w:hAnsi="仿宋_GB2312" w:eastAsia="仿宋_GB2312" w:cs="仿宋_GB2312"/>
                <w:b/>
                <w:bCs/>
                <w:color w:val="FF0000"/>
                <w:kern w:val="0"/>
                <w:sz w:val="24"/>
                <w:szCs w:val="24"/>
                <w:lang w:eastAsia="zh-CN"/>
              </w:rPr>
              <w:t>选择性</w:t>
            </w:r>
            <w:r>
              <w:rPr>
                <w:rFonts w:hint="eastAsia" w:ascii="仿宋_GB2312" w:hAnsi="仿宋_GB2312" w:eastAsia="仿宋_GB2312" w:cs="仿宋_GB2312"/>
                <w:b/>
                <w:bCs/>
                <w:color w:val="FF0000"/>
                <w:kern w:val="0"/>
                <w:sz w:val="24"/>
                <w:szCs w:val="24"/>
              </w:rPr>
              <w:t>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r>
              <w:rPr>
                <w:rFonts w:hint="eastAsia" w:ascii="仿宋_GB2312" w:hAnsi="仿宋_GB2312" w:eastAsia="仿宋_GB2312" w:cs="仿宋_GB2312"/>
                <w:b/>
                <w:bCs/>
                <w:color w:val="FF0000"/>
                <w:kern w:val="0"/>
                <w:sz w:val="24"/>
                <w:szCs w:val="24"/>
              </w:rPr>
              <w:t>（</w:t>
            </w:r>
            <w:r>
              <w:rPr>
                <w:rFonts w:hint="eastAsia" w:ascii="仿宋_GB2312" w:hAnsi="仿宋_GB2312" w:eastAsia="仿宋_GB2312" w:cs="仿宋_GB2312"/>
                <w:b/>
                <w:bCs/>
                <w:color w:val="FF0000"/>
                <w:kern w:val="0"/>
                <w:sz w:val="24"/>
                <w:szCs w:val="24"/>
                <w:lang w:eastAsia="zh-CN"/>
              </w:rPr>
              <w:t>选择性</w:t>
            </w:r>
            <w:r>
              <w:rPr>
                <w:rFonts w:hint="eastAsia" w:ascii="仿宋_GB2312" w:hAnsi="仿宋_GB2312" w:eastAsia="仿宋_GB2312" w:cs="仿宋_GB2312"/>
                <w:b/>
                <w:bCs/>
                <w:color w:val="FF0000"/>
                <w:kern w:val="0"/>
                <w:sz w:val="24"/>
                <w:szCs w:val="24"/>
              </w:rPr>
              <w:t>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r>
              <w:rPr>
                <w:rFonts w:hint="eastAsia" w:ascii="仿宋_GB2312" w:hAnsi="仿宋_GB2312" w:eastAsia="仿宋_GB2312" w:cs="仿宋_GB2312"/>
                <w:b/>
                <w:bCs/>
                <w:color w:val="FF0000"/>
                <w:kern w:val="0"/>
                <w:sz w:val="24"/>
                <w:szCs w:val="24"/>
              </w:rPr>
              <w:t>（</w:t>
            </w:r>
            <w:r>
              <w:rPr>
                <w:rFonts w:hint="eastAsia" w:ascii="仿宋_GB2312" w:hAnsi="仿宋_GB2312" w:eastAsia="仿宋_GB2312" w:cs="仿宋_GB2312"/>
                <w:b/>
                <w:bCs/>
                <w:color w:val="FF0000"/>
                <w:kern w:val="0"/>
                <w:sz w:val="24"/>
                <w:szCs w:val="24"/>
                <w:lang w:eastAsia="zh-CN"/>
              </w:rPr>
              <w:t>选择性</w:t>
            </w:r>
            <w:r>
              <w:rPr>
                <w:rFonts w:hint="eastAsia" w:ascii="仿宋_GB2312" w:hAnsi="仿宋_GB2312" w:eastAsia="仿宋_GB2312" w:cs="仿宋_GB2312"/>
                <w:b/>
                <w:bCs/>
                <w:color w:val="FF0000"/>
                <w:kern w:val="0"/>
                <w:sz w:val="24"/>
                <w:szCs w:val="24"/>
              </w:rPr>
              <w:t>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r>
              <w:rPr>
                <w:rFonts w:hint="eastAsia" w:ascii="仿宋_GB2312" w:hAnsi="仿宋_GB2312" w:eastAsia="仿宋_GB2312" w:cs="仿宋_GB2312"/>
                <w:b/>
                <w:bCs/>
                <w:color w:val="FF0000"/>
                <w:kern w:val="0"/>
                <w:sz w:val="24"/>
                <w:szCs w:val="24"/>
              </w:rPr>
              <w:t>（必须提供）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r>
              <w:rPr>
                <w:rFonts w:hint="eastAsia" w:ascii="仿宋_GB2312" w:hAnsi="仿宋_GB2312" w:eastAsia="仿宋_GB2312" w:cs="仿宋_GB2312"/>
                <w:b/>
                <w:bCs/>
                <w:color w:val="FF0000"/>
                <w:kern w:val="0"/>
                <w:sz w:val="24"/>
                <w:szCs w:val="24"/>
                <w:lang w:eastAsia="zh-CN"/>
              </w:rPr>
              <w:t>（选择性提供，但结题时必须提供）</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r>
              <w:rPr>
                <w:rFonts w:hint="eastAsia" w:ascii="仿宋_GB2312" w:hAnsi="仿宋_GB2312" w:eastAsia="仿宋_GB2312" w:cs="仿宋_GB2312"/>
                <w:b/>
                <w:bCs/>
                <w:color w:val="FF0000"/>
                <w:kern w:val="0"/>
                <w:sz w:val="24"/>
                <w:szCs w:val="24"/>
                <w:lang w:eastAsia="zh-CN"/>
              </w:rPr>
              <w:t>（选择性提供，但结题时必须提供。可利用智慧教室录播、拍摄设备等）</w:t>
            </w:r>
          </w:p>
          <w:p>
            <w:pPr>
              <w:pStyle w:val="9"/>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9"/>
        <w:numPr>
          <w:ilvl w:val="0"/>
          <w:numId w:val="0"/>
        </w:numPr>
        <w:spacing w:line="340" w:lineRule="atLeast"/>
        <w:ind w:leftChars="0"/>
        <w:rPr>
          <w:rFonts w:ascii="黑体" w:hAnsi="黑体" w:eastAsia="黑体" w:cs="黑体"/>
          <w:sz w:val="24"/>
          <w:szCs w:val="24"/>
        </w:rPr>
      </w:pPr>
    </w:p>
    <w:p>
      <w:pPr>
        <w:pStyle w:val="9"/>
        <w:numPr>
          <w:ilvl w:val="0"/>
          <w:numId w:val="0"/>
        </w:numPr>
        <w:spacing w:line="340" w:lineRule="atLeast"/>
        <w:ind w:leftChars="0"/>
        <w:rPr>
          <w:rFonts w:ascii="黑体" w:hAnsi="黑体" w:eastAsia="黑体" w:cs="黑体"/>
          <w:sz w:val="24"/>
          <w:szCs w:val="24"/>
        </w:rPr>
      </w:pPr>
    </w:p>
    <w:p>
      <w:pPr>
        <w:pStyle w:val="9"/>
        <w:numPr>
          <w:ilvl w:val="0"/>
          <w:numId w:val="0"/>
        </w:numPr>
        <w:spacing w:line="340" w:lineRule="atLeast"/>
        <w:ind w:leftChars="0"/>
        <w:rPr>
          <w:rFonts w:ascii="黑体" w:hAnsi="黑体" w:eastAsia="黑体" w:cs="黑体"/>
          <w:sz w:val="24"/>
          <w:szCs w:val="24"/>
        </w:rPr>
      </w:pPr>
    </w:p>
    <w:p>
      <w:pPr>
        <w:pStyle w:val="9"/>
        <w:numPr>
          <w:ilvl w:val="0"/>
          <w:numId w:val="0"/>
        </w:numPr>
        <w:spacing w:line="340" w:lineRule="atLeast"/>
        <w:ind w:leftChars="0"/>
        <w:rPr>
          <w:rFonts w:ascii="黑体" w:hAnsi="黑体" w:eastAsia="黑体" w:cs="黑体"/>
          <w:sz w:val="24"/>
          <w:szCs w:val="24"/>
        </w:rPr>
      </w:pPr>
    </w:p>
    <w:p>
      <w:pPr>
        <w:pStyle w:val="9"/>
        <w:numPr>
          <w:ilvl w:val="0"/>
          <w:numId w:val="0"/>
        </w:numPr>
        <w:spacing w:line="340" w:lineRule="atLeast"/>
        <w:ind w:leftChars="0"/>
        <w:rPr>
          <w:rFonts w:ascii="黑体" w:hAnsi="黑体" w:eastAsia="黑体" w:cs="黑体"/>
          <w:sz w:val="24"/>
          <w:szCs w:val="24"/>
        </w:rPr>
      </w:pPr>
    </w:p>
    <w:p>
      <w:pPr>
        <w:pStyle w:val="9"/>
        <w:numPr>
          <w:ilvl w:val="255"/>
          <w:numId w:val="0"/>
        </w:numPr>
        <w:spacing w:line="340" w:lineRule="atLeast"/>
        <w:rPr>
          <w:rFonts w:hint="eastAsia" w:ascii="黑体" w:hAnsi="黑体" w:eastAsia="黑体" w:cs="黑体"/>
          <w:sz w:val="28"/>
          <w:szCs w:val="28"/>
        </w:rPr>
      </w:pPr>
      <w:r>
        <w:rPr>
          <w:rFonts w:hint="eastAsia" w:ascii="黑体" w:hAnsi="黑体" w:eastAsia="黑体" w:cs="黑体"/>
          <w:sz w:val="28"/>
          <w:szCs w:val="28"/>
          <w:lang w:eastAsia="zh-CN"/>
        </w:rPr>
        <w:t>九、</w:t>
      </w:r>
      <w:r>
        <w:rPr>
          <w:rFonts w:hint="eastAsia" w:ascii="黑体" w:hAnsi="黑体" w:eastAsia="黑体" w:cs="黑体"/>
          <w:sz w:val="28"/>
          <w:szCs w:val="28"/>
        </w:rPr>
        <w:t>课程负责人诚信承诺</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trPr>
        <w:tc>
          <w:tcPr>
            <w:tcW w:w="8522" w:type="dxa"/>
          </w:tcPr>
          <w:p>
            <w:pPr>
              <w:adjustRightInd w:val="0"/>
              <w:snapToGrid w:val="0"/>
              <w:spacing w:before="624" w:beforeLines="200" w:after="312" w:afterLines="100" w:line="400" w:lineRule="atLeast"/>
              <w:ind w:firstLine="480" w:firstLineChars="200"/>
              <w:rPr>
                <w:rFonts w:hint="eastAsia"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w:t>
            </w:r>
          </w:p>
          <w:p>
            <w:pPr>
              <w:adjustRightInd w:val="0"/>
              <w:snapToGrid w:val="0"/>
              <w:spacing w:before="624" w:beforeLines="200" w:after="312" w:afterLines="100" w:line="400" w:lineRule="atLeast"/>
              <w:ind w:firstLine="480" w:firstLineChars="200"/>
              <w:rPr>
                <w:rFonts w:hint="eastAsia" w:ascii="仿宋_GB2312" w:hAnsi="仿宋" w:eastAsia="仿宋_GB2312"/>
                <w:kern w:val="0"/>
                <w:sz w:val="24"/>
                <w:szCs w:val="24"/>
              </w:rPr>
            </w:pP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9"/>
        <w:numPr>
          <w:ilvl w:val="0"/>
          <w:numId w:val="0"/>
        </w:numPr>
        <w:spacing w:line="340" w:lineRule="atLeast"/>
        <w:ind w:leftChars="0"/>
        <w:rPr>
          <w:rFonts w:ascii="黑体" w:hAnsi="黑体" w:eastAsia="黑体" w:cs="黑体"/>
          <w:sz w:val="24"/>
          <w:szCs w:val="24"/>
        </w:rPr>
      </w:pPr>
    </w:p>
    <w:p>
      <w:pPr>
        <w:pStyle w:val="9"/>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eastAsia="zh-CN"/>
        </w:rPr>
        <w:t>十、学</w:t>
      </w:r>
      <w:r>
        <w:rPr>
          <w:rFonts w:hint="eastAsia" w:ascii="黑体" w:hAnsi="黑体" w:eastAsia="黑体" w:cs="黑体"/>
          <w:sz w:val="28"/>
          <w:szCs w:val="28"/>
          <w:lang w:val="en-US" w:eastAsia="zh-CN"/>
        </w:rPr>
        <w:t>院</w:t>
      </w:r>
      <w:r>
        <w:rPr>
          <w:rFonts w:hint="eastAsia" w:ascii="黑体" w:hAnsi="黑体" w:eastAsia="黑体" w:cs="黑体"/>
          <w:sz w:val="28"/>
          <w:szCs w:val="28"/>
          <w:lang w:eastAsia="zh-CN"/>
        </w:rPr>
        <w:t>教指委委员会课程评价意见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spacing w:line="340" w:lineRule="atLeast"/>
              <w:ind w:firstLine="0" w:firstLineChars="0"/>
              <w:rPr>
                <w:kern w:val="0"/>
                <w:sz w:val="24"/>
                <w:szCs w:val="24"/>
              </w:rPr>
            </w:pPr>
          </w:p>
          <w:p>
            <w:pPr>
              <w:pStyle w:val="9"/>
              <w:spacing w:line="400" w:lineRule="exact"/>
              <w:ind w:firstLine="480"/>
              <w:rPr>
                <w:kern w:val="0"/>
                <w:sz w:val="24"/>
                <w:szCs w:val="24"/>
              </w:rPr>
            </w:pPr>
            <w:r>
              <w:rPr>
                <w:rFonts w:hint="eastAsia" w:ascii="仿宋_GB2312" w:hAnsi="仿宋_GB2312" w:eastAsia="仿宋_GB2312" w:cs="仿宋_GB2312"/>
                <w:kern w:val="0"/>
                <w:sz w:val="24"/>
                <w:szCs w:val="24"/>
              </w:rPr>
              <w:t>该课程内容及上传的申报材料无违反国家法律、法规的内容，内容科学严谨，不存在科学性问题。课程设计符合教育教学规律，符合学校办学定位，满足专业人才培养需求，</w:t>
            </w:r>
            <w:r>
              <w:rPr>
                <w:rFonts w:ascii="仿宋_GB2312" w:hAnsi="仿宋_GB2312" w:eastAsia="仿宋_GB2312" w:cs="仿宋_GB2312"/>
                <w:kern w:val="0"/>
                <w:sz w:val="24"/>
                <w:szCs w:val="24"/>
              </w:rPr>
              <w:t>教学方法恰当，</w:t>
            </w:r>
            <w:r>
              <w:rPr>
                <w:rFonts w:hint="eastAsia" w:ascii="仿宋_GB2312" w:hAnsi="仿宋_GB2312" w:eastAsia="仿宋_GB2312" w:cs="仿宋_GB2312"/>
                <w:kern w:val="0"/>
                <w:sz w:val="24"/>
                <w:szCs w:val="24"/>
              </w:rPr>
              <w:t>具有推广示范意义。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wordWrap w:val="0"/>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lang w:eastAsia="zh-CN"/>
              </w:rPr>
              <w:t>学院</w:t>
            </w:r>
            <w:r>
              <w:rPr>
                <w:rFonts w:hint="eastAsia" w:ascii="仿宋_GB2312" w:hAnsi="仿宋" w:eastAsia="仿宋_GB2312"/>
                <w:kern w:val="0"/>
                <w:sz w:val="24"/>
                <w:szCs w:val="24"/>
              </w:rPr>
              <w:t>负责人（</w:t>
            </w:r>
            <w:r>
              <w:rPr>
                <w:rFonts w:hint="eastAsia" w:ascii="仿宋_GB2312" w:hAnsi="仿宋_GB2312" w:eastAsia="仿宋_GB2312" w:cs="仿宋_GB2312"/>
                <w:kern w:val="0"/>
                <w:sz w:val="24"/>
                <w:szCs w:val="24"/>
                <w:lang w:eastAsia="zh-CN"/>
              </w:rPr>
              <w:t>签</w:t>
            </w:r>
            <w:r>
              <w:rPr>
                <w:rFonts w:hint="eastAsia" w:ascii="仿宋_GB2312" w:hAnsi="仿宋_GB2312" w:eastAsia="仿宋_GB2312" w:cs="仿宋_GB2312"/>
                <w:kern w:val="0"/>
                <w:sz w:val="24"/>
                <w:szCs w:val="24"/>
              </w:rPr>
              <w:t>章</w:t>
            </w:r>
            <w:r>
              <w:rPr>
                <w:rFonts w:hint="eastAsia" w:ascii="仿宋_GB2312" w:hAnsi="仿宋" w:eastAsia="仿宋_GB2312"/>
                <w:kern w:val="0"/>
                <w:sz w:val="24"/>
                <w:szCs w:val="24"/>
              </w:rPr>
              <w:t>）：</w:t>
            </w:r>
          </w:p>
          <w:p>
            <w:pPr>
              <w:pStyle w:val="9"/>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p>
            <w:pPr>
              <w:pStyle w:val="9"/>
              <w:spacing w:line="340" w:lineRule="atLeast"/>
              <w:ind w:firstLine="0" w:firstLineChars="0"/>
              <w:jc w:val="center"/>
              <w:rPr>
                <w:rFonts w:ascii="仿宋_GB2312" w:hAnsi="仿宋" w:eastAsia="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eastAsia="zh-CN"/>
        </w:rPr>
        <w:t>十一、学</w:t>
      </w:r>
      <w:r>
        <w:rPr>
          <w:rFonts w:hint="eastAsia" w:ascii="黑体" w:hAnsi="黑体" w:eastAsia="黑体" w:cs="黑体"/>
          <w:sz w:val="28"/>
          <w:szCs w:val="28"/>
          <w:lang w:val="en-US" w:eastAsia="zh-CN"/>
        </w:rPr>
        <w:t>院</w:t>
      </w:r>
      <w:r>
        <w:rPr>
          <w:rFonts w:hint="eastAsia" w:ascii="黑体" w:hAnsi="黑体" w:eastAsia="黑体" w:cs="黑体"/>
          <w:sz w:val="28"/>
          <w:szCs w:val="28"/>
          <w:lang w:eastAsia="zh-CN"/>
        </w:rPr>
        <w:t>政治审查意见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9"/>
              <w:spacing w:line="340" w:lineRule="atLeast"/>
              <w:ind w:firstLine="0" w:firstLineChars="0"/>
              <w:rPr>
                <w:kern w:val="0"/>
                <w:sz w:val="24"/>
                <w:szCs w:val="24"/>
              </w:rPr>
            </w:pPr>
          </w:p>
          <w:p>
            <w:pPr>
              <w:pStyle w:val="9"/>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9"/>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该课程团队负责人及成员遵纪守法，无违法违纪行为，不存在师德师风问题、学术不端等问题，五年内未出现过重大教学事故。</w:t>
            </w:r>
          </w:p>
          <w:p>
            <w:pPr>
              <w:pStyle w:val="9"/>
              <w:spacing w:line="400" w:lineRule="exact"/>
              <w:ind w:firstLine="480"/>
              <w:rPr>
                <w:rFonts w:ascii="仿宋_GB2312" w:hAnsi="仿宋_GB2312" w:eastAsia="仿宋_GB2312" w:cs="仿宋_GB2312"/>
                <w:kern w:val="0"/>
                <w:sz w:val="24"/>
                <w:szCs w:val="24"/>
              </w:rPr>
            </w:pPr>
          </w:p>
          <w:p>
            <w:pPr>
              <w:pStyle w:val="9"/>
              <w:wordWrap w:val="0"/>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hint="eastAsia" w:ascii="仿宋_GB2312" w:hAnsi="仿宋_GB2312" w:eastAsia="仿宋_GB2312" w:cs="仿宋_GB2312"/>
                <w:kern w:val="0"/>
                <w:sz w:val="24"/>
                <w:szCs w:val="24"/>
                <w:lang w:val="en-US" w:eastAsia="zh-CN"/>
              </w:rPr>
              <w:t>院/部门</w:t>
            </w:r>
            <w:r>
              <w:rPr>
                <w:rFonts w:hint="eastAsia" w:ascii="仿宋_GB2312" w:hAnsi="仿宋_GB2312" w:eastAsia="仿宋_GB2312" w:cs="仿宋_GB2312"/>
                <w:kern w:val="0"/>
                <w:sz w:val="24"/>
                <w:szCs w:val="24"/>
              </w:rPr>
              <w:t>党</w:t>
            </w:r>
            <w:r>
              <w:rPr>
                <w:rFonts w:hint="eastAsia" w:ascii="仿宋_GB2312" w:hAnsi="仿宋_GB2312" w:eastAsia="仿宋_GB2312" w:cs="仿宋_GB2312"/>
                <w:kern w:val="0"/>
                <w:sz w:val="24"/>
                <w:szCs w:val="24"/>
                <w:lang w:val="en-US" w:eastAsia="zh-CN"/>
              </w:rPr>
              <w:t>总支</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签</w:t>
            </w:r>
            <w:r>
              <w:rPr>
                <w:rFonts w:hint="eastAsia" w:ascii="仿宋_GB2312" w:hAnsi="仿宋_GB2312" w:eastAsia="仿宋_GB2312" w:cs="仿宋_GB2312"/>
                <w:kern w:val="0"/>
                <w:sz w:val="24"/>
                <w:szCs w:val="24"/>
              </w:rPr>
              <w:t>章）</w:t>
            </w:r>
          </w:p>
          <w:p>
            <w:pPr>
              <w:pStyle w:val="9"/>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p>
            <w:pPr>
              <w:pStyle w:val="9"/>
              <w:spacing w:line="340" w:lineRule="atLeast"/>
              <w:ind w:firstLine="0" w:firstLineChars="0"/>
              <w:rPr>
                <w:kern w:val="0"/>
                <w:sz w:val="24"/>
                <w:szCs w:val="24"/>
              </w:rPr>
            </w:pPr>
          </w:p>
        </w:tc>
      </w:tr>
    </w:tbl>
    <w:p>
      <w:pPr>
        <w:pStyle w:val="9"/>
        <w:numPr>
          <w:ilvl w:val="0"/>
          <w:numId w:val="0"/>
        </w:numPr>
        <w:spacing w:line="340" w:lineRule="atLeast"/>
        <w:ind w:leftChars="0"/>
        <w:rPr>
          <w:rFonts w:hint="eastAsia" w:ascii="黑体" w:hAnsi="黑体" w:eastAsia="黑体" w:cs="黑体"/>
          <w:sz w:val="24"/>
          <w:szCs w:val="24"/>
          <w:lang w:val="en-US" w:eastAsia="zh-CN"/>
        </w:rPr>
      </w:pPr>
    </w:p>
    <w:p>
      <w:pPr>
        <w:pStyle w:val="9"/>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eastAsia="zh-CN"/>
        </w:rPr>
        <w:t>十二、审批意见</w:t>
      </w:r>
    </w:p>
    <w:tbl>
      <w:tblPr>
        <w:tblStyle w:val="6"/>
        <w:tblW w:w="8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2"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学校评审组评审意见:</w:t>
            </w:r>
          </w:p>
          <w:p>
            <w:pPr>
              <w:jc w:val="left"/>
              <w:rPr>
                <w:rFonts w:hint="eastAsia"/>
                <w:b/>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rPr>
              <w:t>组长签字：</w:t>
            </w:r>
          </w:p>
          <w:p>
            <w:pPr>
              <w:ind w:firstLine="3840" w:firstLineChars="1600"/>
              <w:rPr>
                <w:rFonts w:hint="eastAsia"/>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9"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主管部门审核意见：</w: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lang w:val="en-US" w:eastAsia="zh-CN"/>
              </w:rPr>
              <w:t>主管部门</w:t>
            </w:r>
            <w:r>
              <w:rPr>
                <w:rFonts w:hint="eastAsia"/>
                <w:sz w:val="24"/>
                <w:szCs w:val="24"/>
              </w:rPr>
              <w:t>签章：</w:t>
            </w:r>
          </w:p>
          <w:p>
            <w:pPr>
              <w:ind w:firstLine="3840" w:firstLineChars="1600"/>
              <w:rPr>
                <w:rFonts w:hint="eastAsia" w:ascii="Times New Roman" w:hAnsi="Times New Roman" w:eastAsia="宋体" w:cs="Times New Roman"/>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ind w:firstLine="6000" w:firstLineChars="2500"/>
              <w:jc w:val="left"/>
              <w:rPr>
                <w:rFonts w:hint="eastAsia"/>
                <w:sz w:val="24"/>
                <w:szCs w:val="24"/>
              </w:rPr>
            </w:pPr>
          </w:p>
        </w:tc>
      </w:tr>
    </w:tbl>
    <w:p>
      <w:pPr>
        <w:pStyle w:val="9"/>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A42E7"/>
    <w:rsid w:val="003D1356"/>
    <w:rsid w:val="004541B5"/>
    <w:rsid w:val="004A5043"/>
    <w:rsid w:val="005865AE"/>
    <w:rsid w:val="005D6133"/>
    <w:rsid w:val="005E67AC"/>
    <w:rsid w:val="005F3749"/>
    <w:rsid w:val="006020AE"/>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1574075"/>
    <w:rsid w:val="04D85906"/>
    <w:rsid w:val="0A931C57"/>
    <w:rsid w:val="0E972E05"/>
    <w:rsid w:val="101D6869"/>
    <w:rsid w:val="151B3540"/>
    <w:rsid w:val="1613084D"/>
    <w:rsid w:val="16484990"/>
    <w:rsid w:val="18504ACE"/>
    <w:rsid w:val="19D2047B"/>
    <w:rsid w:val="1AC51FB0"/>
    <w:rsid w:val="22585081"/>
    <w:rsid w:val="22B53F2B"/>
    <w:rsid w:val="266D7073"/>
    <w:rsid w:val="269C6333"/>
    <w:rsid w:val="27FF31A9"/>
    <w:rsid w:val="2A0037A9"/>
    <w:rsid w:val="2A0B797C"/>
    <w:rsid w:val="2B2741AD"/>
    <w:rsid w:val="2CB817BD"/>
    <w:rsid w:val="3235635A"/>
    <w:rsid w:val="33932D32"/>
    <w:rsid w:val="35700D89"/>
    <w:rsid w:val="36C51DAC"/>
    <w:rsid w:val="3B3C0217"/>
    <w:rsid w:val="3B6100A5"/>
    <w:rsid w:val="3EAB5075"/>
    <w:rsid w:val="3EAB7837"/>
    <w:rsid w:val="45AC63EA"/>
    <w:rsid w:val="46235472"/>
    <w:rsid w:val="4BBC14FE"/>
    <w:rsid w:val="4E1659BD"/>
    <w:rsid w:val="55137824"/>
    <w:rsid w:val="551C2264"/>
    <w:rsid w:val="566D3474"/>
    <w:rsid w:val="57525990"/>
    <w:rsid w:val="576F47C5"/>
    <w:rsid w:val="59A4008F"/>
    <w:rsid w:val="5C1E0D18"/>
    <w:rsid w:val="5D4474E1"/>
    <w:rsid w:val="5D981338"/>
    <w:rsid w:val="5ED7385A"/>
    <w:rsid w:val="5FFC2C27"/>
    <w:rsid w:val="669F78D6"/>
    <w:rsid w:val="67250F3F"/>
    <w:rsid w:val="70687519"/>
    <w:rsid w:val="71DC79B8"/>
    <w:rsid w:val="73D930AF"/>
    <w:rsid w:val="740658A8"/>
    <w:rsid w:val="79B5584B"/>
    <w:rsid w:val="7A29330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366</Words>
  <Characters>2089</Characters>
  <Lines>17</Lines>
  <Paragraphs>4</Paragraphs>
  <TotalTime>0</TotalTime>
  <ScaleCrop>false</ScaleCrop>
  <LinksUpToDate>false</LinksUpToDate>
  <CharactersWithSpaces>2451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10块</cp:lastModifiedBy>
  <dcterms:modified xsi:type="dcterms:W3CDTF">2022-03-20T02:37:30Z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1AF778E5AAD44FE1A0175F09D197F4D6</vt:lpwstr>
  </property>
</Properties>
</file>